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黑体" w:eastAsia="仿宋_GB2312" w:cs="Times New Roman"/>
          <w:sz w:val="32"/>
          <w:szCs w:val="32"/>
        </w:rPr>
      </w:pPr>
      <w:r>
        <w:rPr>
          <w:rFonts w:hint="eastAsia" w:ascii="仿宋_GB2312" w:hAnsi="黑体" w:eastAsia="仿宋_GB2312" w:cs="Times New Roman"/>
          <w:sz w:val="32"/>
          <w:szCs w:val="32"/>
        </w:rPr>
        <w:t xml:space="preserve">附件3    </w:t>
      </w:r>
    </w:p>
    <w:p>
      <w:pPr>
        <w:jc w:val="center"/>
        <w:rPr>
          <w:rFonts w:ascii="方正小标宋简体" w:hAnsi="微软雅黑" w:eastAsia="方正小标宋简体"/>
          <w:bCs/>
          <w:color w:val="000000"/>
          <w:sz w:val="36"/>
          <w:szCs w:val="36"/>
          <w:shd w:val="clear" w:color="auto" w:fill="FFFFFF"/>
        </w:rPr>
      </w:pPr>
      <w:r>
        <w:rPr>
          <w:rFonts w:hint="eastAsia" w:ascii="方正小标宋简体" w:hAnsi="微软雅黑" w:eastAsia="方正小标宋简体"/>
          <w:bCs/>
          <w:color w:val="000000"/>
          <w:sz w:val="36"/>
          <w:szCs w:val="36"/>
          <w:shd w:val="clear" w:color="auto" w:fill="FFFFFF"/>
        </w:rPr>
        <w:t>福建省202</w:t>
      </w:r>
      <w:r>
        <w:rPr>
          <w:rFonts w:hint="eastAsia" w:ascii="方正小标宋简体" w:hAnsi="微软雅黑" w:eastAsia="方正小标宋简体"/>
          <w:bCs/>
          <w:color w:val="000000"/>
          <w:sz w:val="36"/>
          <w:szCs w:val="36"/>
          <w:shd w:val="clear" w:color="auto" w:fill="FFFFFF"/>
          <w:lang w:val="en-US" w:eastAsia="zh-CN"/>
        </w:rPr>
        <w:t>4</w:t>
      </w:r>
      <w:r>
        <w:rPr>
          <w:rFonts w:hint="eastAsia" w:ascii="方正小标宋简体" w:hAnsi="微软雅黑" w:eastAsia="方正小标宋简体"/>
          <w:bCs/>
          <w:color w:val="000000"/>
          <w:sz w:val="36"/>
          <w:szCs w:val="36"/>
          <w:shd w:val="clear" w:color="auto" w:fill="FFFFFF"/>
        </w:rPr>
        <w:t>年“三支一扶”计划省内高校毕业生</w:t>
      </w:r>
    </w:p>
    <w:p>
      <w:pPr>
        <w:jc w:val="center"/>
        <w:rPr>
          <w:rFonts w:ascii="方正小标宋简体" w:hAnsi="微软雅黑" w:eastAsia="方正小标宋简体"/>
          <w:bCs/>
          <w:color w:val="000000"/>
          <w:sz w:val="36"/>
          <w:szCs w:val="36"/>
          <w:shd w:val="clear" w:color="auto" w:fill="FFFFFF"/>
        </w:rPr>
      </w:pPr>
      <w:r>
        <w:rPr>
          <w:rFonts w:hint="eastAsia" w:ascii="方正小标宋简体" w:hAnsi="微软雅黑" w:eastAsia="方正小标宋简体"/>
          <w:bCs/>
          <w:color w:val="000000"/>
          <w:sz w:val="36"/>
          <w:szCs w:val="36"/>
          <w:shd w:val="clear" w:color="auto" w:fill="FFFFFF"/>
        </w:rPr>
        <w:t>审核办法</w:t>
      </w:r>
    </w:p>
    <w:p>
      <w:pPr>
        <w:keepNext w:val="0"/>
        <w:keepLines w:val="0"/>
        <w:pageBreakBefore w:val="0"/>
        <w:widowControl w:val="0"/>
        <w:kinsoku/>
        <w:wordWrap/>
        <w:overflowPunct/>
        <w:topLinePunct w:val="0"/>
        <w:autoSpaceDE/>
        <w:autoSpaceDN/>
        <w:bidi w:val="0"/>
        <w:adjustRightInd/>
        <w:spacing w:line="550" w:lineRule="exact"/>
        <w:ind w:firstLine="627" w:firstLineChars="196"/>
        <w:textAlignment w:val="auto"/>
        <w:rPr>
          <w:rFonts w:ascii="黑体" w:hAnsi="黑体" w:eastAsia="黑体" w:cs="黑体"/>
          <w:color w:val="auto"/>
          <w:sz w:val="32"/>
          <w:szCs w:val="32"/>
        </w:rPr>
      </w:pPr>
      <w:r>
        <w:rPr>
          <w:rFonts w:hint="eastAsia" w:ascii="黑体" w:hAnsi="黑体" w:eastAsia="黑体" w:cs="黑体"/>
          <w:color w:val="auto"/>
          <w:sz w:val="32"/>
          <w:szCs w:val="32"/>
        </w:rPr>
        <w:t>一、审核机构</w:t>
      </w:r>
    </w:p>
    <w:p>
      <w:pPr>
        <w:keepNext w:val="0"/>
        <w:keepLines w:val="0"/>
        <w:pageBreakBefore w:val="0"/>
        <w:widowControl w:val="0"/>
        <w:kinsoku/>
        <w:wordWrap/>
        <w:overflowPunct/>
        <w:topLinePunct w:val="0"/>
        <w:autoSpaceDE/>
        <w:autoSpaceDN/>
        <w:bidi w:val="0"/>
        <w:adjustRightInd/>
        <w:spacing w:line="550" w:lineRule="exact"/>
        <w:ind w:firstLine="627" w:firstLineChars="196"/>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2024年</w:t>
      </w:r>
      <w:r>
        <w:rPr>
          <w:rFonts w:hint="eastAsia" w:ascii="仿宋_GB2312" w:hAnsi="仿宋_GB2312" w:eastAsia="仿宋_GB2312" w:cs="仿宋_GB2312"/>
          <w:color w:val="auto"/>
          <w:sz w:val="32"/>
          <w:szCs w:val="32"/>
        </w:rPr>
        <w:t>福建省“三支一扶”计划省内高校报名人员资格审查、考核评分工作，由报名毕业生所在院校负责。</w:t>
      </w:r>
    </w:p>
    <w:p>
      <w:pPr>
        <w:keepNext w:val="0"/>
        <w:keepLines w:val="0"/>
        <w:pageBreakBefore w:val="0"/>
        <w:widowControl w:val="0"/>
        <w:kinsoku/>
        <w:wordWrap/>
        <w:overflowPunct/>
        <w:topLinePunct w:val="0"/>
        <w:autoSpaceDE/>
        <w:autoSpaceDN/>
        <w:bidi w:val="0"/>
        <w:adjustRightInd/>
        <w:spacing w:line="550" w:lineRule="exact"/>
        <w:ind w:firstLine="627" w:firstLineChars="196"/>
        <w:textAlignment w:val="auto"/>
        <w:rPr>
          <w:rFonts w:ascii="黑体" w:hAnsi="黑体" w:eastAsia="黑体" w:cs="黑体"/>
          <w:color w:val="auto"/>
          <w:sz w:val="32"/>
          <w:szCs w:val="32"/>
        </w:rPr>
      </w:pPr>
      <w:r>
        <w:rPr>
          <w:rFonts w:hint="eastAsia" w:ascii="黑体" w:hAnsi="黑体" w:eastAsia="黑体" w:cs="黑体"/>
          <w:color w:val="auto"/>
          <w:sz w:val="32"/>
          <w:szCs w:val="32"/>
        </w:rPr>
        <w:t>二、审核对象</w:t>
      </w:r>
    </w:p>
    <w:p>
      <w:pPr>
        <w:keepNext w:val="0"/>
        <w:keepLines w:val="0"/>
        <w:pageBreakBefore w:val="0"/>
        <w:widowControl w:val="0"/>
        <w:kinsoku/>
        <w:wordWrap/>
        <w:overflowPunct/>
        <w:topLinePunct w:val="0"/>
        <w:autoSpaceDE/>
        <w:autoSpaceDN/>
        <w:bidi w:val="0"/>
        <w:adjustRightInd/>
        <w:spacing w:line="550" w:lineRule="exact"/>
        <w:ind w:firstLine="627" w:firstLineChars="196"/>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报名参加</w:t>
      </w:r>
      <w:r>
        <w:rPr>
          <w:rFonts w:hint="eastAsia" w:ascii="仿宋_GB2312" w:hAnsi="仿宋_GB2312" w:eastAsia="仿宋_GB2312" w:cs="仿宋_GB2312"/>
          <w:color w:val="auto"/>
          <w:sz w:val="32"/>
          <w:szCs w:val="32"/>
          <w:lang w:eastAsia="zh-CN"/>
        </w:rPr>
        <w:t>2024年</w:t>
      </w:r>
      <w:r>
        <w:rPr>
          <w:rFonts w:hint="eastAsia" w:ascii="仿宋_GB2312" w:hAnsi="仿宋_GB2312" w:eastAsia="仿宋_GB2312" w:cs="仿宋_GB2312"/>
          <w:color w:val="auto"/>
          <w:sz w:val="32"/>
          <w:szCs w:val="32"/>
        </w:rPr>
        <w:t>福建省“三支一扶”计划的省内全日制普通高校毕业生。</w:t>
      </w:r>
    </w:p>
    <w:p>
      <w:pPr>
        <w:keepNext w:val="0"/>
        <w:keepLines w:val="0"/>
        <w:pageBreakBefore w:val="0"/>
        <w:widowControl w:val="0"/>
        <w:kinsoku/>
        <w:wordWrap/>
        <w:overflowPunct/>
        <w:topLinePunct w:val="0"/>
        <w:autoSpaceDE/>
        <w:autoSpaceDN/>
        <w:bidi w:val="0"/>
        <w:adjustRightInd/>
        <w:spacing w:line="550" w:lineRule="exact"/>
        <w:ind w:firstLine="627" w:firstLineChars="196"/>
        <w:textAlignment w:val="auto"/>
        <w:rPr>
          <w:rFonts w:ascii="黑体" w:hAnsi="黑体" w:eastAsia="黑体" w:cs="黑体"/>
          <w:color w:val="auto"/>
          <w:sz w:val="32"/>
          <w:szCs w:val="32"/>
        </w:rPr>
      </w:pPr>
      <w:r>
        <w:rPr>
          <w:rFonts w:hint="eastAsia" w:ascii="黑体" w:hAnsi="黑体" w:eastAsia="黑体" w:cs="黑体"/>
          <w:color w:val="auto"/>
          <w:sz w:val="32"/>
          <w:szCs w:val="32"/>
        </w:rPr>
        <w:t>三、审核方式</w:t>
      </w:r>
    </w:p>
    <w:p>
      <w:pPr>
        <w:keepNext w:val="0"/>
        <w:keepLines w:val="0"/>
        <w:pageBreakBefore w:val="0"/>
        <w:widowControl w:val="0"/>
        <w:kinsoku/>
        <w:wordWrap/>
        <w:overflowPunct/>
        <w:topLinePunct w:val="0"/>
        <w:autoSpaceDE/>
        <w:autoSpaceDN/>
        <w:bidi w:val="0"/>
        <w:adjustRightInd/>
        <w:spacing w:line="550" w:lineRule="exact"/>
        <w:ind w:firstLine="627" w:firstLineChars="196"/>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院校登录</w:t>
      </w:r>
      <w:r>
        <w:rPr>
          <w:rFonts w:hint="eastAsia" w:ascii="仿宋_GB2312" w:hAnsi="仿宋_GB2312" w:eastAsia="仿宋_GB2312" w:cs="仿宋_GB2312"/>
          <w:color w:val="auto"/>
          <w:sz w:val="32"/>
          <w:szCs w:val="32"/>
          <w:lang w:val="en-US" w:eastAsia="zh-CN"/>
        </w:rPr>
        <w:t>福建就业网三支一扶专区（网址：https://www.fj99.org.cn/bys/）</w:t>
      </w:r>
      <w:r>
        <w:rPr>
          <w:rFonts w:hint="eastAsia" w:ascii="仿宋_GB2312" w:hAnsi="仿宋_GB2312" w:eastAsia="仿宋_GB2312" w:cs="仿宋_GB2312"/>
          <w:color w:val="auto"/>
          <w:sz w:val="32"/>
          <w:szCs w:val="32"/>
        </w:rPr>
        <w:t>进行网上资格审查、考核评分。</w:t>
      </w:r>
    </w:p>
    <w:p>
      <w:pPr>
        <w:keepNext w:val="0"/>
        <w:keepLines w:val="0"/>
        <w:pageBreakBefore w:val="0"/>
        <w:widowControl w:val="0"/>
        <w:kinsoku/>
        <w:wordWrap/>
        <w:overflowPunct/>
        <w:topLinePunct w:val="0"/>
        <w:autoSpaceDE/>
        <w:autoSpaceDN/>
        <w:bidi w:val="0"/>
        <w:adjustRightInd/>
        <w:spacing w:line="550" w:lineRule="exact"/>
        <w:ind w:firstLine="627" w:firstLineChars="196"/>
        <w:textAlignment w:val="auto"/>
        <w:rPr>
          <w:rFonts w:ascii="黑体" w:hAnsi="黑体" w:eastAsia="黑体" w:cs="黑体"/>
          <w:color w:val="auto"/>
          <w:sz w:val="32"/>
          <w:szCs w:val="32"/>
        </w:rPr>
      </w:pPr>
      <w:r>
        <w:rPr>
          <w:rFonts w:hint="eastAsia" w:ascii="黑体" w:hAnsi="黑体" w:eastAsia="黑体" w:cs="黑体"/>
          <w:color w:val="auto"/>
          <w:sz w:val="32"/>
          <w:szCs w:val="32"/>
        </w:rPr>
        <w:t>四、审核内容</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（一）资格审查</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ascii="仿宋_GB2312" w:hAnsi="仿宋_GB2312" w:eastAsia="仿宋_GB2312" w:cs="仿宋_GB2312"/>
          <w:b/>
          <w:bCs/>
          <w:color w:val="auto"/>
          <w:sz w:val="32"/>
          <w:szCs w:val="32"/>
        </w:rPr>
        <w:t>1.</w:t>
      </w:r>
      <w:r>
        <w:rPr>
          <w:rFonts w:hint="eastAsia" w:ascii="仿宋_GB2312" w:hAnsi="仿宋_GB2312" w:eastAsia="仿宋_GB2312" w:cs="仿宋_GB2312"/>
          <w:b/>
          <w:bCs/>
          <w:color w:val="auto"/>
          <w:sz w:val="32"/>
          <w:szCs w:val="32"/>
        </w:rPr>
        <w:t>生源地审核。</w:t>
      </w:r>
      <w:r>
        <w:rPr>
          <w:rFonts w:hint="eastAsia" w:ascii="仿宋_GB2312" w:hAnsi="仿宋_GB2312" w:eastAsia="仿宋_GB2312" w:cs="仿宋_GB2312"/>
          <w:color w:val="auto"/>
          <w:sz w:val="32"/>
          <w:szCs w:val="32"/>
        </w:rPr>
        <w:t>是否为岗位所在设区市生源毕业生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生源地指参加全国统一的普通高等学校招生考试时户籍所在地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是否如实填写。</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审查方式：审核户口簿，查验报名人员的生源地和报名单位所在地。</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审查字段：岗位类别、生源地、单位所在地。</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ascii="仿宋_GB2312" w:hAnsi="仿宋_GB2312" w:eastAsia="仿宋_GB2312" w:cs="仿宋_GB2312"/>
          <w:b/>
          <w:bCs/>
          <w:color w:val="auto"/>
          <w:sz w:val="32"/>
          <w:szCs w:val="32"/>
          <w:highlight w:val="red"/>
        </w:rPr>
      </w:pPr>
      <w:r>
        <w:rPr>
          <w:rFonts w:hint="eastAsia" w:ascii="仿宋_GB2312" w:hAnsi="仿宋_GB2312" w:eastAsia="仿宋_GB2312" w:cs="仿宋_GB2312"/>
          <w:color w:val="auto"/>
          <w:sz w:val="32"/>
          <w:szCs w:val="32"/>
          <w:highlight w:val="none"/>
        </w:rPr>
        <w:t>审查标准：首先审核生源地是否如实填写，如否，则审核退回。其次审核生源地匹配情况，岗位类别为“省级岗位”的，本审查项可审核通过。报名福州市、泉州市、</w:t>
      </w:r>
      <w:r>
        <w:rPr>
          <w:rFonts w:hint="eastAsia" w:ascii="仿宋_GB2312" w:hAnsi="仿宋_GB2312" w:eastAsia="仿宋_GB2312" w:cs="仿宋_GB2312"/>
          <w:color w:val="auto"/>
          <w:sz w:val="32"/>
          <w:szCs w:val="32"/>
          <w:highlight w:val="none"/>
          <w:lang w:eastAsia="zh-CN"/>
        </w:rPr>
        <w:t>三明市</w:t>
      </w:r>
      <w:r>
        <w:rPr>
          <w:rFonts w:hint="eastAsia" w:ascii="仿宋_GB2312" w:hAnsi="仿宋_GB2312" w:eastAsia="仿宋_GB2312" w:cs="仿宋_GB2312"/>
          <w:color w:val="auto"/>
          <w:sz w:val="32"/>
          <w:szCs w:val="32"/>
          <w:highlight w:val="none"/>
        </w:rPr>
        <w:t>“市级岗位”的毕业生，须是报名岗位所在</w:t>
      </w:r>
      <w:r>
        <w:rPr>
          <w:rFonts w:hint="eastAsia" w:ascii="仿宋_GB2312" w:hAnsi="仿宋_GB2312" w:eastAsia="仿宋_GB2312" w:cs="仿宋_GB2312"/>
          <w:color w:val="auto"/>
          <w:sz w:val="32"/>
          <w:szCs w:val="32"/>
          <w:highlight w:val="none"/>
          <w:lang w:eastAsia="zh-CN"/>
        </w:rPr>
        <w:t>设区</w:t>
      </w:r>
      <w:r>
        <w:rPr>
          <w:rFonts w:hint="eastAsia" w:ascii="仿宋_GB2312" w:hAnsi="仿宋_GB2312" w:eastAsia="仿宋_GB2312" w:cs="仿宋_GB2312"/>
          <w:color w:val="auto"/>
          <w:sz w:val="32"/>
          <w:szCs w:val="32"/>
          <w:highlight w:val="none"/>
        </w:rPr>
        <w:t>市生源（指入学前户口所在地为本</w:t>
      </w:r>
      <w:r>
        <w:rPr>
          <w:rFonts w:hint="eastAsia" w:ascii="仿宋_GB2312" w:hAnsi="仿宋_GB2312" w:eastAsia="仿宋_GB2312" w:cs="仿宋_GB2312"/>
          <w:color w:val="auto"/>
          <w:sz w:val="32"/>
          <w:szCs w:val="32"/>
          <w:highlight w:val="none"/>
          <w:lang w:eastAsia="zh-CN"/>
        </w:rPr>
        <w:t>设区</w:t>
      </w:r>
      <w:r>
        <w:rPr>
          <w:rFonts w:hint="eastAsia" w:ascii="仿宋_GB2312" w:hAnsi="仿宋_GB2312" w:eastAsia="仿宋_GB2312" w:cs="仿宋_GB2312"/>
          <w:color w:val="auto"/>
          <w:sz w:val="32"/>
          <w:szCs w:val="32"/>
          <w:highlight w:val="none"/>
        </w:rPr>
        <w:t>市</w:t>
      </w:r>
      <w:r>
        <w:rPr>
          <w:rFonts w:hint="eastAsia" w:ascii="仿宋_GB2312" w:hAnsi="仿宋_GB2312" w:eastAsia="仿宋_GB2312" w:cs="仿宋_GB2312"/>
          <w:color w:val="auto"/>
          <w:sz w:val="32"/>
          <w:szCs w:val="32"/>
          <w:highlight w:val="none"/>
          <w:lang w:val="en-US" w:eastAsia="zh-CN"/>
        </w:rPr>
        <w:t>辖区各县（市、区）</w:t>
      </w:r>
      <w:r>
        <w:rPr>
          <w:rFonts w:hint="eastAsia" w:ascii="仿宋_GB2312" w:hAnsi="仿宋_GB2312" w:eastAsia="仿宋_GB2312" w:cs="仿宋_GB2312"/>
          <w:color w:val="auto"/>
          <w:sz w:val="32"/>
          <w:szCs w:val="32"/>
          <w:highlight w:val="none"/>
        </w:rPr>
        <w:t>），如否，则审核不通过。报名</w:t>
      </w:r>
      <w:r>
        <w:rPr>
          <w:rFonts w:hint="eastAsia" w:ascii="仿宋_GB2312" w:hAnsi="仿宋_GB2312" w:eastAsia="仿宋_GB2312" w:cs="仿宋_GB2312"/>
          <w:color w:val="auto"/>
          <w:sz w:val="32"/>
          <w:szCs w:val="32"/>
          <w:highlight w:val="none"/>
          <w:lang w:eastAsia="zh-CN"/>
        </w:rPr>
        <w:t>龙岩</w:t>
      </w:r>
      <w:r>
        <w:rPr>
          <w:rFonts w:hint="eastAsia" w:ascii="仿宋_GB2312" w:hAnsi="仿宋_GB2312" w:eastAsia="仿宋_GB2312" w:cs="仿宋_GB2312"/>
          <w:color w:val="auto"/>
          <w:sz w:val="32"/>
          <w:szCs w:val="32"/>
          <w:highlight w:val="none"/>
        </w:rPr>
        <w:t>市、</w:t>
      </w:r>
      <w:r>
        <w:rPr>
          <w:rFonts w:hint="eastAsia" w:ascii="仿宋_GB2312" w:hAnsi="仿宋_GB2312" w:eastAsia="仿宋_GB2312" w:cs="仿宋_GB2312"/>
          <w:color w:val="auto"/>
          <w:sz w:val="32"/>
          <w:szCs w:val="32"/>
          <w:highlight w:val="none"/>
          <w:lang w:eastAsia="zh-CN"/>
        </w:rPr>
        <w:t>莆田市</w:t>
      </w:r>
      <w:r>
        <w:rPr>
          <w:rFonts w:hint="eastAsia" w:ascii="仿宋_GB2312" w:hAnsi="仿宋_GB2312" w:eastAsia="仿宋_GB2312" w:cs="仿宋_GB2312"/>
          <w:color w:val="auto"/>
          <w:sz w:val="32"/>
          <w:szCs w:val="32"/>
          <w:highlight w:val="none"/>
        </w:rPr>
        <w:t>“市级岗位”的毕业生，须是报名岗位所在</w:t>
      </w:r>
      <w:r>
        <w:rPr>
          <w:rFonts w:hint="eastAsia" w:ascii="仿宋_GB2312" w:hAnsi="仿宋_GB2312" w:eastAsia="仿宋_GB2312" w:cs="仿宋_GB2312"/>
          <w:color w:val="auto"/>
          <w:sz w:val="32"/>
          <w:szCs w:val="32"/>
          <w:highlight w:val="none"/>
          <w:lang w:eastAsia="zh-CN"/>
        </w:rPr>
        <w:t>设区</w:t>
      </w:r>
      <w:r>
        <w:rPr>
          <w:rFonts w:hint="eastAsia" w:ascii="仿宋_GB2312" w:hAnsi="仿宋_GB2312" w:eastAsia="仿宋_GB2312" w:cs="仿宋_GB2312"/>
          <w:color w:val="auto"/>
          <w:sz w:val="32"/>
          <w:szCs w:val="32"/>
          <w:highlight w:val="none"/>
        </w:rPr>
        <w:t>市生源（指入学前户口所在地为本</w:t>
      </w:r>
      <w:r>
        <w:rPr>
          <w:rFonts w:hint="eastAsia" w:ascii="仿宋_GB2312" w:hAnsi="仿宋_GB2312" w:eastAsia="仿宋_GB2312" w:cs="仿宋_GB2312"/>
          <w:color w:val="auto"/>
          <w:sz w:val="32"/>
          <w:szCs w:val="32"/>
          <w:highlight w:val="none"/>
          <w:lang w:eastAsia="zh-CN"/>
        </w:rPr>
        <w:t>设区</w:t>
      </w:r>
      <w:r>
        <w:rPr>
          <w:rFonts w:hint="eastAsia" w:ascii="仿宋_GB2312" w:hAnsi="仿宋_GB2312" w:eastAsia="仿宋_GB2312" w:cs="仿宋_GB2312"/>
          <w:color w:val="auto"/>
          <w:sz w:val="32"/>
          <w:szCs w:val="32"/>
          <w:highlight w:val="none"/>
        </w:rPr>
        <w:t>市</w:t>
      </w:r>
      <w:r>
        <w:rPr>
          <w:rFonts w:hint="eastAsia" w:ascii="仿宋_GB2312" w:hAnsi="仿宋_GB2312" w:eastAsia="仿宋_GB2312" w:cs="仿宋_GB2312"/>
          <w:color w:val="auto"/>
          <w:sz w:val="32"/>
          <w:szCs w:val="32"/>
          <w:highlight w:val="none"/>
          <w:lang w:val="en-US" w:eastAsia="zh-CN"/>
        </w:rPr>
        <w:t>辖区各县（市、区）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或毕业院校所在地为报名岗位所在设区市</w:t>
      </w:r>
      <w:r>
        <w:rPr>
          <w:rFonts w:hint="eastAsia" w:ascii="仿宋_GB2312" w:hAnsi="仿宋_GB2312" w:eastAsia="仿宋_GB2312" w:cs="仿宋_GB2312"/>
          <w:color w:val="auto"/>
          <w:sz w:val="32"/>
          <w:szCs w:val="32"/>
          <w:highlight w:val="none"/>
        </w:rPr>
        <w:t>，如否，则审核不通过。</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ascii="仿宋_GB2312" w:hAnsi="仿宋_GB2312" w:eastAsia="仿宋_GB2312" w:cs="仿宋_GB2312"/>
          <w:color w:val="auto"/>
          <w:sz w:val="32"/>
          <w:szCs w:val="32"/>
        </w:rPr>
      </w:pPr>
      <w:r>
        <w:rPr>
          <w:rFonts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rPr>
        <w:t>学历、毕业时间审核。</w:t>
      </w:r>
      <w:r>
        <w:rPr>
          <w:rFonts w:hint="eastAsia" w:ascii="仿宋_GB2312" w:hAnsi="仿宋_GB2312" w:eastAsia="仿宋_GB2312" w:cs="仿宋_GB2312"/>
          <w:color w:val="auto"/>
          <w:sz w:val="32"/>
          <w:szCs w:val="32"/>
        </w:rPr>
        <w:t>是否属于按照国家普通高等学校招生计划招收的全日制普通高校</w:t>
      </w:r>
      <w:r>
        <w:rPr>
          <w:rFonts w:hint="eastAsia" w:ascii="仿宋_GB2312" w:hAnsi="仿宋_GB2312" w:eastAsia="仿宋_GB2312" w:cs="仿宋_GB2312"/>
          <w:color w:val="auto"/>
          <w:sz w:val="32"/>
          <w:szCs w:val="32"/>
          <w:lang w:val="en-US" w:eastAsia="zh-CN"/>
        </w:rPr>
        <w:t>本专科</w:t>
      </w:r>
      <w:r>
        <w:rPr>
          <w:rFonts w:hint="eastAsia" w:ascii="仿宋_GB2312" w:hAnsi="仿宋_GB2312" w:eastAsia="仿宋_GB2312" w:cs="仿宋_GB2312"/>
          <w:color w:val="auto"/>
          <w:sz w:val="32"/>
          <w:szCs w:val="32"/>
        </w:rPr>
        <w:t>毕业生</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国家统一下达招生计划，考试招生执行相同政策和标准</w:t>
      </w:r>
      <w:r>
        <w:rPr>
          <w:rFonts w:hint="eastAsia" w:ascii="仿宋_GB2312" w:hAnsi="仿宋_GB2312" w:eastAsia="仿宋_GB2312" w:cs="仿宋_GB2312"/>
          <w:color w:val="auto"/>
          <w:sz w:val="32"/>
          <w:szCs w:val="32"/>
          <w:lang w:val="en-US" w:eastAsia="zh-CN"/>
        </w:rPr>
        <w:t>的全日制、非全日制研究生；</w:t>
      </w:r>
      <w:r>
        <w:rPr>
          <w:rFonts w:hint="eastAsia" w:ascii="仿宋_GB2312" w:hAnsi="仿宋_GB2312" w:eastAsia="仿宋_GB2312" w:cs="仿宋_GB2312"/>
          <w:color w:val="auto"/>
          <w:sz w:val="32"/>
          <w:szCs w:val="32"/>
        </w:rPr>
        <w:t>是否满足报名条件要求的取得毕业资格截止时间。</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审查方式：查验报名人员的毕业时间及学历。</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审查字段：毕业日期、学历。</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审查标准：全日制</w:t>
      </w:r>
      <w:r>
        <w:rPr>
          <w:rFonts w:hint="eastAsia" w:ascii="仿宋_GB2312" w:hAnsi="仿宋_GB2312" w:eastAsia="仿宋_GB2312" w:cs="仿宋_GB2312"/>
          <w:color w:val="auto"/>
          <w:sz w:val="32"/>
          <w:szCs w:val="32"/>
          <w:lang w:val="en-US" w:eastAsia="zh-CN"/>
        </w:rPr>
        <w:t>本</w:t>
      </w:r>
      <w:r>
        <w:rPr>
          <w:rFonts w:hint="eastAsia" w:ascii="仿宋_GB2312" w:hAnsi="仿宋_GB2312" w:eastAsia="仿宋_GB2312" w:cs="仿宋_GB2312"/>
          <w:color w:val="auto"/>
          <w:sz w:val="32"/>
          <w:szCs w:val="32"/>
        </w:rPr>
        <w:t>专科学历，毕业时间应在</w:t>
      </w:r>
      <w:r>
        <w:rPr>
          <w:rFonts w:hint="eastAsia" w:ascii="仿宋_GB2312" w:hAnsi="仿宋_GB2312" w:eastAsia="仿宋_GB2312" w:cs="仿宋_GB2312"/>
          <w:color w:val="auto"/>
          <w:sz w:val="32"/>
          <w:szCs w:val="32"/>
          <w:lang w:eastAsia="zh-CN"/>
        </w:rPr>
        <w:t>2024年</w:t>
      </w:r>
      <w:r>
        <w:rPr>
          <w:rFonts w:ascii="仿宋_GB2312" w:hAnsi="仿宋_GB2312" w:eastAsia="仿宋_GB2312" w:cs="仿宋_GB2312"/>
          <w:color w:val="auto"/>
          <w:sz w:val="32"/>
          <w:szCs w:val="32"/>
        </w:rPr>
        <w:t>8</w:t>
      </w:r>
      <w:r>
        <w:rPr>
          <w:rFonts w:hint="eastAsia" w:ascii="仿宋_GB2312" w:hAnsi="仿宋_GB2312" w:eastAsia="仿宋_GB2312" w:cs="仿宋_GB2312"/>
          <w:color w:val="auto"/>
          <w:sz w:val="32"/>
          <w:szCs w:val="32"/>
        </w:rPr>
        <w:t>月</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日及之前（研究生放宽至12月31日），应届毕业生统一认定为符合毕业时间条件，如否，则审核不通过。</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学历</w:t>
      </w:r>
      <w:r>
        <w:rPr>
          <w:rFonts w:hint="eastAsia" w:ascii="仿宋_GB2312" w:hAnsi="仿宋_GB2312" w:eastAsia="仿宋_GB2312" w:cs="仿宋_GB2312"/>
          <w:b/>
          <w:bCs/>
          <w:color w:val="auto"/>
          <w:sz w:val="32"/>
          <w:szCs w:val="32"/>
          <w:lang w:val="en-US" w:eastAsia="zh-CN"/>
        </w:rPr>
        <w:t>应规范填报为专科生毕业、本科生毕业、硕士生毕业</w:t>
      </w:r>
      <w:r>
        <w:rPr>
          <w:rFonts w:hint="eastAsia" w:ascii="仿宋_GB2312" w:hAnsi="仿宋_GB2312" w:eastAsia="仿宋_GB2312" w:cs="仿宋_GB2312"/>
          <w:b/>
          <w:bCs/>
          <w:color w:val="auto"/>
          <w:sz w:val="32"/>
          <w:szCs w:val="32"/>
          <w:lang w:eastAsia="zh-CN"/>
        </w:rPr>
        <w:t>）</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ascii="仿宋_GB2312" w:hAnsi="仿宋_GB2312" w:eastAsia="仿宋_GB2312" w:cs="仿宋_GB2312"/>
          <w:b/>
          <w:bCs/>
          <w:color w:val="auto"/>
          <w:sz w:val="32"/>
          <w:szCs w:val="32"/>
        </w:rPr>
      </w:pPr>
      <w:r>
        <w:rPr>
          <w:rFonts w:ascii="仿宋_GB2312" w:hAnsi="仿宋_GB2312" w:eastAsia="仿宋_GB2312" w:cs="仿宋_GB2312"/>
          <w:b/>
          <w:bCs/>
          <w:color w:val="auto"/>
          <w:sz w:val="32"/>
          <w:szCs w:val="32"/>
        </w:rPr>
        <w:t>3.</w:t>
      </w:r>
      <w:r>
        <w:rPr>
          <w:rFonts w:hint="eastAsia" w:ascii="仿宋_GB2312" w:hAnsi="仿宋_GB2312" w:eastAsia="仿宋_GB2312" w:cs="仿宋_GB2312"/>
          <w:b/>
          <w:bCs/>
          <w:color w:val="auto"/>
          <w:sz w:val="32"/>
          <w:szCs w:val="32"/>
        </w:rPr>
        <w:t>在校表现情况审核。</w:t>
      </w:r>
    </w:p>
    <w:p>
      <w:pPr>
        <w:keepNext w:val="0"/>
        <w:keepLines w:val="0"/>
        <w:pageBreakBefore w:val="0"/>
        <w:widowControl w:val="0"/>
        <w:kinsoku/>
        <w:wordWrap/>
        <w:overflowPunct/>
        <w:topLinePunct w:val="0"/>
        <w:autoSpaceDE/>
        <w:autoSpaceDN/>
        <w:bidi w:val="0"/>
        <w:adjustRightInd/>
        <w:spacing w:line="550" w:lineRule="exact"/>
        <w:ind w:firstLine="640" w:firstLineChars="200"/>
        <w:jc w:val="left"/>
        <w:textAlignment w:val="auto"/>
        <w:rPr>
          <w:rFonts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）是否有违法违纪违规行为。</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审查标准：报名人员在校期间有违法违纪违规行为，并受过严重警告及以上处分的，审核不通过。</w:t>
      </w:r>
    </w:p>
    <w:p>
      <w:pPr>
        <w:keepNext w:val="0"/>
        <w:keepLines w:val="0"/>
        <w:pageBreakBefore w:val="0"/>
        <w:widowControl w:val="0"/>
        <w:numPr>
          <w:ilvl w:val="0"/>
          <w:numId w:val="1"/>
        </w:numPr>
        <w:kinsoku/>
        <w:wordWrap/>
        <w:overflowPunct/>
        <w:topLinePunct w:val="0"/>
        <w:autoSpaceDE/>
        <w:autoSpaceDN/>
        <w:bidi w:val="0"/>
        <w:adjustRightInd/>
        <w:snapToGrid w:val="0"/>
        <w:spacing w:line="55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是否必修（主修）科目达标。</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审查标准：报名人员在读期间必修（主修）科目补考</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门或</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次（含</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门或</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次）以上的，审核不通过。</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ascii="仿宋_GB2312" w:hAnsi="仿宋_GB2312" w:eastAsia="仿宋_GB2312" w:cs="仿宋_GB2312"/>
          <w:b/>
          <w:bCs/>
          <w:color w:val="auto"/>
          <w:sz w:val="32"/>
          <w:szCs w:val="32"/>
        </w:rPr>
        <w:t>4.</w:t>
      </w:r>
      <w:r>
        <w:rPr>
          <w:rFonts w:hint="eastAsia" w:ascii="仿宋_GB2312" w:hAnsi="仿宋_GB2312" w:eastAsia="仿宋_GB2312" w:cs="仿宋_GB2312"/>
          <w:b/>
          <w:bCs/>
          <w:color w:val="auto"/>
          <w:sz w:val="32"/>
          <w:szCs w:val="32"/>
        </w:rPr>
        <w:t>基本信息审核。</w:t>
      </w:r>
      <w:r>
        <w:rPr>
          <w:rFonts w:hint="eastAsia" w:ascii="仿宋_GB2312" w:hAnsi="仿宋_GB2312" w:eastAsia="仿宋_GB2312" w:cs="仿宋_GB2312"/>
          <w:color w:val="auto"/>
          <w:sz w:val="32"/>
          <w:szCs w:val="32"/>
        </w:rPr>
        <w:t>审核报名人员信息，包括</w:t>
      </w:r>
      <w:r>
        <w:rPr>
          <w:rFonts w:hint="eastAsia" w:ascii="仿宋_GB2312" w:hAnsi="仿宋_GB2312" w:eastAsia="仿宋_GB2312" w:cs="仿宋_GB2312"/>
          <w:b/>
          <w:bCs/>
          <w:color w:val="auto"/>
          <w:sz w:val="32"/>
          <w:szCs w:val="32"/>
          <w:lang w:val="en-US" w:eastAsia="zh-CN"/>
        </w:rPr>
        <w:t>生源地、</w:t>
      </w:r>
      <w:r>
        <w:rPr>
          <w:rFonts w:hint="eastAsia" w:ascii="仿宋_GB2312" w:hAnsi="仿宋_GB2312" w:eastAsia="仿宋_GB2312" w:cs="仿宋_GB2312"/>
          <w:b/>
          <w:bCs/>
          <w:color w:val="auto"/>
          <w:sz w:val="32"/>
          <w:szCs w:val="32"/>
        </w:rPr>
        <w:t>民族、学历、专业、政治面貌</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包括群众、共青团员、入党积极分子、党员发展对象、中共预备党员、中共党员等</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bCs/>
          <w:color w:val="auto"/>
          <w:sz w:val="32"/>
          <w:szCs w:val="32"/>
        </w:rPr>
        <w:t>、在校奖惩情况</w:t>
      </w:r>
      <w:r>
        <w:rPr>
          <w:rFonts w:hint="eastAsia" w:ascii="仿宋_GB2312" w:hAnsi="仿宋_GB2312" w:eastAsia="仿宋_GB2312" w:cs="仿宋_GB2312"/>
          <w:color w:val="auto"/>
          <w:sz w:val="32"/>
          <w:szCs w:val="32"/>
        </w:rPr>
        <w:t>。如有不符之处，及时审核退回并通知报名人员在</w:t>
      </w:r>
      <w:r>
        <w:rPr>
          <w:rFonts w:hint="eastAsia" w:ascii="仿宋_GB2312" w:hAnsi="仿宋_GB2312" w:eastAsia="仿宋_GB2312" w:cs="仿宋_GB2312"/>
          <w:color w:val="auto"/>
          <w:sz w:val="32"/>
          <w:szCs w:val="32"/>
          <w:lang w:eastAsia="zh-CN"/>
        </w:rPr>
        <w:t>规定的</w:t>
      </w:r>
      <w:r>
        <w:rPr>
          <w:rFonts w:hint="eastAsia" w:ascii="仿宋_GB2312" w:hAnsi="仿宋_GB2312" w:eastAsia="仿宋_GB2312" w:cs="仿宋_GB2312"/>
          <w:color w:val="auto"/>
          <w:sz w:val="32"/>
          <w:szCs w:val="32"/>
        </w:rPr>
        <w:t>报名和院校审查考核时间内完善</w:t>
      </w:r>
      <w:r>
        <w:rPr>
          <w:rFonts w:hint="eastAsia" w:ascii="仿宋_GB2312" w:hAnsi="仿宋_GB2312" w:eastAsia="仿宋_GB2312" w:cs="仿宋_GB2312"/>
          <w:color w:val="auto"/>
          <w:sz w:val="32"/>
          <w:szCs w:val="32"/>
          <w:lang w:eastAsia="zh-CN"/>
        </w:rPr>
        <w:t>后提交。</w:t>
      </w:r>
    </w:p>
    <w:p>
      <w:pPr>
        <w:spacing w:line="520" w:lineRule="exact"/>
        <w:ind w:firstLine="627" w:firstLineChars="196"/>
        <w:rPr>
          <w:rFonts w:hint="eastAsia" w:ascii="仿宋_GB2312" w:hAnsi="仿宋_GB2312" w:eastAsia="仿宋_GB2312" w:cs="仿宋_GB2312"/>
          <w:strike/>
          <w:dstrike w:val="0"/>
          <w:color w:val="auto"/>
          <w:sz w:val="32"/>
          <w:szCs w:val="32"/>
          <w:lang w:val="en-US" w:eastAsia="zh-CN"/>
        </w:rPr>
      </w:pPr>
      <w:r>
        <w:rPr>
          <w:rFonts w:hint="eastAsia" w:ascii="仿宋_GB2312" w:hAnsi="仿宋_GB2312" w:eastAsia="仿宋_GB2312" w:cs="仿宋_GB2312"/>
          <w:color w:val="auto"/>
          <w:sz w:val="32"/>
          <w:szCs w:val="32"/>
          <w:lang w:val="en-US" w:eastAsia="zh-CN"/>
        </w:rPr>
        <w:t>报名人员</w:t>
      </w:r>
      <w:r>
        <w:rPr>
          <w:rFonts w:hint="eastAsia" w:ascii="仿宋_GB2312" w:hAnsi="仿宋_GB2312" w:eastAsia="仿宋_GB2312" w:cs="仿宋_GB2312"/>
          <w:b/>
          <w:bCs/>
          <w:color w:val="auto"/>
          <w:sz w:val="32"/>
          <w:szCs w:val="32"/>
          <w:lang w:val="en-US" w:eastAsia="zh-CN"/>
        </w:rPr>
        <w:t>困难状况</w:t>
      </w:r>
      <w:r>
        <w:rPr>
          <w:rFonts w:hint="eastAsia" w:ascii="仿宋_GB2312" w:hAnsi="仿宋_GB2312" w:eastAsia="仿宋_GB2312" w:cs="仿宋_GB2312"/>
          <w:b w:val="0"/>
          <w:bCs w:val="0"/>
          <w:color w:val="auto"/>
          <w:sz w:val="32"/>
          <w:szCs w:val="32"/>
          <w:lang w:val="en-US" w:eastAsia="zh-CN"/>
        </w:rPr>
        <w:t>（</w:t>
      </w:r>
      <w:r>
        <w:rPr>
          <w:rFonts w:hint="eastAsia" w:ascii="仿宋_GB2312" w:hAnsi="Arial" w:eastAsia="仿宋_GB2312" w:cs="仿宋_GB2312"/>
          <w:color w:val="auto"/>
          <w:kern w:val="0"/>
          <w:sz w:val="32"/>
          <w:szCs w:val="32"/>
          <w:lang w:val="en-US" w:eastAsia="zh-CN"/>
        </w:rPr>
        <w:t>脱贫户家庭高校毕业生</w:t>
      </w:r>
      <w:r>
        <w:rPr>
          <w:rFonts w:hint="eastAsia" w:ascii="仿宋_GB2312" w:hAnsi="仿宋_GB2312" w:eastAsia="仿宋_GB2312" w:cs="仿宋_GB2312"/>
          <w:b w:val="0"/>
          <w:bCs w:val="0"/>
          <w:color w:val="auto"/>
          <w:sz w:val="32"/>
          <w:szCs w:val="32"/>
        </w:rPr>
        <w:t>、城乡低保家庭高校毕业生、特困人员高校毕业生</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系统</w:t>
      </w:r>
      <w:r>
        <w:rPr>
          <w:rFonts w:hint="eastAsia" w:ascii="仿宋_GB2312" w:hAnsi="仿宋_GB2312" w:eastAsia="仿宋_GB2312" w:cs="仿宋_GB2312"/>
          <w:color w:val="auto"/>
          <w:sz w:val="32"/>
          <w:szCs w:val="32"/>
        </w:rPr>
        <w:t>通过大数据比对自动审核，系统显现</w:t>
      </w:r>
      <w:r>
        <w:rPr>
          <w:rFonts w:hint="eastAsia" w:ascii="仿宋_GB2312" w:hAnsi="仿宋_GB2312" w:eastAsia="仿宋_GB2312" w:cs="仿宋_GB2312"/>
          <w:b/>
          <w:bCs/>
          <w:color w:val="auto"/>
          <w:sz w:val="32"/>
          <w:szCs w:val="32"/>
        </w:rPr>
        <w:t>“校验通过”</w:t>
      </w:r>
      <w:r>
        <w:rPr>
          <w:rFonts w:hint="eastAsia" w:ascii="仿宋_GB2312" w:hAnsi="仿宋_GB2312" w:eastAsia="仿宋_GB2312" w:cs="仿宋_GB2312"/>
          <w:color w:val="auto"/>
          <w:sz w:val="32"/>
          <w:szCs w:val="32"/>
          <w:lang w:val="en-US" w:eastAsia="zh-CN"/>
        </w:rPr>
        <w:t>的，不需要上传材料，“校验不通过”但认为自己属于上述困难状况的报名人员，需自行上传佐证材料，由报考岗位所在设区市人社部门人工审核，院校无需</w:t>
      </w:r>
      <w:r>
        <w:rPr>
          <w:rFonts w:hint="eastAsia" w:ascii="仿宋_GB2312" w:hAnsi="仿宋_GB2312" w:eastAsia="仿宋_GB2312" w:cs="仿宋_GB2312"/>
          <w:color w:val="auto"/>
          <w:sz w:val="32"/>
          <w:szCs w:val="32"/>
        </w:rPr>
        <w:t>审核</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以上审查项目均符合报名对象和条件要求的，该报名人员的资格审查即通过，审查结果通过</w:t>
      </w:r>
      <w:r>
        <w:rPr>
          <w:rFonts w:hint="eastAsia" w:ascii="仿宋_GB2312" w:hAnsi="仿宋_GB2312" w:eastAsia="仿宋_GB2312" w:cs="仿宋_GB2312"/>
          <w:color w:val="auto"/>
          <w:sz w:val="32"/>
          <w:szCs w:val="32"/>
          <w:lang w:val="en-US" w:eastAsia="zh-CN"/>
        </w:rPr>
        <w:t>系统</w:t>
      </w:r>
      <w:r>
        <w:rPr>
          <w:rFonts w:hint="eastAsia" w:ascii="仿宋_GB2312" w:hAnsi="仿宋_GB2312" w:eastAsia="仿宋_GB2312" w:cs="仿宋_GB2312"/>
          <w:color w:val="auto"/>
          <w:sz w:val="32"/>
          <w:szCs w:val="32"/>
        </w:rPr>
        <w:t>反馈给报名人员。如毕业生对资格审查结果有异议的，应在</w:t>
      </w:r>
      <w:r>
        <w:rPr>
          <w:rFonts w:hint="eastAsia" w:ascii="仿宋_GB2312" w:hAnsi="仿宋_GB2312" w:eastAsia="仿宋_GB2312" w:cs="仿宋_GB2312"/>
          <w:color w:val="auto"/>
          <w:sz w:val="32"/>
          <w:szCs w:val="32"/>
          <w:lang w:eastAsia="zh-CN"/>
        </w:rPr>
        <w:t>规定的</w:t>
      </w:r>
      <w:r>
        <w:rPr>
          <w:rFonts w:hint="eastAsia" w:ascii="仿宋_GB2312" w:hAnsi="仿宋_GB2312" w:eastAsia="仿宋_GB2312" w:cs="仿宋_GB2312"/>
          <w:color w:val="auto"/>
          <w:sz w:val="32"/>
          <w:szCs w:val="32"/>
        </w:rPr>
        <w:t>报名和院校审查考核时间内联系所在院校申请复核。</w:t>
      </w:r>
    </w:p>
    <w:p>
      <w:pPr>
        <w:keepNext w:val="0"/>
        <w:keepLines w:val="0"/>
        <w:pageBreakBefore w:val="0"/>
        <w:widowControl w:val="0"/>
        <w:numPr>
          <w:ilvl w:val="0"/>
          <w:numId w:val="2"/>
        </w:numPr>
        <w:kinsoku/>
        <w:wordWrap/>
        <w:overflowPunct/>
        <w:topLinePunct w:val="0"/>
        <w:autoSpaceDE/>
        <w:autoSpaceDN/>
        <w:bidi w:val="0"/>
        <w:adjustRightInd/>
        <w:snapToGrid w:val="0"/>
        <w:spacing w:line="55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特设岗位审核</w:t>
      </w:r>
    </w:p>
    <w:p>
      <w:pPr>
        <w:keepNext w:val="0"/>
        <w:keepLines w:val="0"/>
        <w:pageBreakBefore w:val="0"/>
        <w:widowControl w:val="0"/>
        <w:numPr>
          <w:ilvl w:val="-1"/>
          <w:numId w:val="0"/>
        </w:numPr>
        <w:kinsoku/>
        <w:wordWrap/>
        <w:overflowPunct/>
        <w:topLinePunct w:val="0"/>
        <w:autoSpaceDE/>
        <w:autoSpaceDN/>
        <w:bidi w:val="0"/>
        <w:adjustRightInd/>
        <w:snapToGrid w:val="0"/>
        <w:spacing w:line="55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审核报名省级“三支一扶”计划台湾籍高校毕业生特设岗位的报名人员是否为本校台湾籍高校毕业生，并审核其学历、毕业时间，在校表现情况，基本信息（参照“（一）资格审查”执行），以上均符合的资格审查即通过。</w:t>
      </w:r>
    </w:p>
    <w:p>
      <w:pPr>
        <w:keepNext w:val="0"/>
        <w:keepLines w:val="0"/>
        <w:pageBreakBefore w:val="0"/>
        <w:widowControl w:val="0"/>
        <w:kinsoku/>
        <w:wordWrap/>
        <w:overflowPunct/>
        <w:topLinePunct w:val="0"/>
        <w:autoSpaceDE/>
        <w:autoSpaceDN/>
        <w:bidi w:val="0"/>
        <w:adjustRightInd/>
        <w:spacing w:line="550" w:lineRule="exact"/>
        <w:ind w:left="0" w:leftChars="0" w:firstLine="640" w:firstLineChars="200"/>
        <w:jc w:val="left"/>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（三）考核评分</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b/>
          <w:bCs/>
          <w:color w:val="auto"/>
          <w:sz w:val="32"/>
          <w:szCs w:val="32"/>
        </w:rPr>
        <w:t>1.</w:t>
      </w:r>
      <w:r>
        <w:rPr>
          <w:rFonts w:hint="eastAsia" w:ascii="仿宋_GB2312" w:hAnsi="仿宋_GB2312" w:eastAsia="仿宋_GB2312" w:cs="仿宋_GB2312"/>
          <w:b/>
          <w:bCs/>
          <w:color w:val="auto"/>
          <w:sz w:val="32"/>
          <w:szCs w:val="32"/>
        </w:rPr>
        <w:t>专业成绩排名情况（满分</w:t>
      </w:r>
      <w:r>
        <w:rPr>
          <w:rFonts w:hint="eastAsia" w:ascii="仿宋_GB2312" w:hAnsi="仿宋_GB2312" w:eastAsia="仿宋_GB2312" w:cs="仿宋_GB2312"/>
          <w:b/>
          <w:bCs/>
          <w:color w:val="auto"/>
          <w:sz w:val="32"/>
          <w:szCs w:val="32"/>
          <w:lang w:val="en-US" w:eastAsia="zh-CN"/>
        </w:rPr>
        <w:t>15</w:t>
      </w:r>
      <w:r>
        <w:rPr>
          <w:rFonts w:hint="eastAsia" w:ascii="仿宋_GB2312" w:hAnsi="仿宋_GB2312" w:eastAsia="仿宋_GB2312" w:cs="仿宋_GB2312"/>
          <w:b/>
          <w:bCs/>
          <w:color w:val="auto"/>
          <w:sz w:val="32"/>
          <w:szCs w:val="32"/>
        </w:rPr>
        <w:t>分）。按照报名人员所有学年学科总成绩在专业排名情况</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进行</w:t>
      </w:r>
      <w:r>
        <w:rPr>
          <w:rFonts w:hint="eastAsia" w:ascii="仿宋_GB2312" w:hAnsi="仿宋_GB2312" w:eastAsia="仿宋_GB2312" w:cs="仿宋_GB2312"/>
          <w:b/>
          <w:bCs/>
          <w:color w:val="auto"/>
          <w:sz w:val="32"/>
          <w:szCs w:val="32"/>
          <w:lang w:val="en-US" w:eastAsia="zh-CN"/>
        </w:rPr>
        <w:t>量化</w:t>
      </w:r>
      <w:r>
        <w:rPr>
          <w:rFonts w:hint="eastAsia" w:ascii="仿宋_GB2312" w:hAnsi="仿宋_GB2312" w:eastAsia="仿宋_GB2312" w:cs="仿宋_GB2312"/>
          <w:b/>
          <w:bCs/>
          <w:color w:val="auto"/>
          <w:sz w:val="32"/>
          <w:szCs w:val="32"/>
        </w:rPr>
        <w:t>评分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w:t>
      </w:r>
      <w:r>
        <w:rPr>
          <w:rFonts w:hint="eastAsia" w:ascii="仿宋_GB2312" w:hAnsi="仿宋_GB2312" w:eastAsia="仿宋_GB2312" w:cs="仿宋_GB2312"/>
          <w:color w:val="auto"/>
          <w:sz w:val="32"/>
          <w:szCs w:val="32"/>
          <w:lang w:val="en-US" w:eastAsia="zh-CN"/>
        </w:rPr>
        <w:t>报名</w:t>
      </w:r>
      <w:r>
        <w:rPr>
          <w:rFonts w:hint="eastAsia" w:ascii="仿宋_GB2312" w:hAnsi="仿宋_GB2312" w:eastAsia="仿宋_GB2312" w:cs="仿宋_GB2312"/>
          <w:color w:val="auto"/>
          <w:sz w:val="32"/>
          <w:szCs w:val="32"/>
        </w:rPr>
        <w:t>审核阶段，应届毕业生最后一学期</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学年成绩未出的，按照已有学年学科总成绩排名评分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highlight w:val="none"/>
          <w:lang w:val="en-US" w:eastAsia="zh-CN"/>
        </w:rPr>
        <w:t>评分按照四舍五入取值，汇总表填报应精确到小数点后两位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：专业成绩排名前</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分；专业成绩排名每增加1%，分数减少0.2分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w:t>
      </w:r>
      <w:r>
        <w:rPr>
          <w:rFonts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14.8</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val="en-US" w:eastAsia="zh-CN"/>
        </w:rPr>
        <w:t>7</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14.6</w:t>
      </w:r>
      <w:r>
        <w:rPr>
          <w:rFonts w:hint="eastAsia" w:ascii="仿宋_GB2312" w:hAnsi="仿宋_GB2312" w:eastAsia="仿宋_GB2312" w:cs="仿宋_GB2312"/>
          <w:color w:val="auto"/>
          <w:sz w:val="32"/>
          <w:szCs w:val="32"/>
        </w:rPr>
        <w:t>分，以此类推，</w:t>
      </w:r>
      <w:r>
        <w:rPr>
          <w:rFonts w:hint="eastAsia" w:ascii="仿宋_GB2312" w:hAnsi="仿宋_GB2312" w:eastAsia="仿宋_GB2312" w:cs="仿宋_GB2312"/>
          <w:color w:val="auto"/>
          <w:sz w:val="32"/>
          <w:szCs w:val="32"/>
          <w:lang w:val="en-US" w:eastAsia="zh-CN"/>
        </w:rPr>
        <w:t>59</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4.2</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60</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分，专业成绩排名</w:t>
      </w:r>
      <w:r>
        <w:rPr>
          <w:rFonts w:hint="eastAsia" w:ascii="仿宋_GB2312" w:hAnsi="仿宋_GB2312" w:eastAsia="仿宋_GB2312" w:cs="仿宋_GB2312"/>
          <w:color w:val="auto"/>
          <w:sz w:val="32"/>
          <w:szCs w:val="32"/>
          <w:lang w:val="en-US" w:eastAsia="zh-CN"/>
        </w:rPr>
        <w:t>61</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（含）以外，不得分。</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hint="eastAsia" w:ascii="仿宋_GB2312" w:hAnsi="仿宋_GB2312" w:eastAsia="仿宋_GB2312" w:cs="仿宋_GB2312"/>
          <w:b w:val="0"/>
          <w:bCs w:val="0"/>
          <w:color w:val="auto"/>
          <w:sz w:val="32"/>
          <w:szCs w:val="32"/>
        </w:rPr>
      </w:pPr>
      <w:r>
        <w:rPr>
          <w:rFonts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val="en-US" w:eastAsia="zh-CN"/>
        </w:rPr>
        <w:t>获得荣誉（奖学金、奖项）情况</w:t>
      </w:r>
      <w:r>
        <w:rPr>
          <w:rFonts w:hint="eastAsia" w:ascii="仿宋_GB2312" w:hAnsi="仿宋_GB2312" w:eastAsia="仿宋_GB2312" w:cs="仿宋_GB2312"/>
          <w:b/>
          <w:bCs/>
          <w:color w:val="auto"/>
          <w:sz w:val="32"/>
          <w:szCs w:val="32"/>
        </w:rPr>
        <w:t>（满分</w:t>
      </w:r>
      <w:r>
        <w:rPr>
          <w:rFonts w:ascii="仿宋_GB2312" w:hAnsi="仿宋_GB2312" w:eastAsia="仿宋_GB2312" w:cs="仿宋_GB2312"/>
          <w:b/>
          <w:bCs/>
          <w:color w:val="auto"/>
          <w:sz w:val="32"/>
          <w:szCs w:val="32"/>
        </w:rPr>
        <w:t>10</w:t>
      </w:r>
      <w:r>
        <w:rPr>
          <w:rFonts w:hint="eastAsia" w:ascii="仿宋_GB2312" w:hAnsi="仿宋_GB2312" w:eastAsia="仿宋_GB2312" w:cs="仿宋_GB2312"/>
          <w:b/>
          <w:bCs/>
          <w:color w:val="auto"/>
          <w:sz w:val="32"/>
          <w:szCs w:val="32"/>
        </w:rPr>
        <w:t>分）。</w:t>
      </w:r>
      <w:r>
        <w:rPr>
          <w:rFonts w:hint="eastAsia" w:ascii="仿宋_GB2312" w:hAnsi="仿宋_GB2312" w:eastAsia="仿宋_GB2312" w:cs="仿宋_GB2312"/>
          <w:color w:val="auto"/>
          <w:sz w:val="32"/>
          <w:szCs w:val="32"/>
        </w:rPr>
        <w:t>根据报名人员在校</w:t>
      </w:r>
      <w:r>
        <w:rPr>
          <w:rFonts w:hint="eastAsia" w:ascii="仿宋_GB2312" w:hAnsi="仿宋_GB2312" w:eastAsia="仿宋_GB2312" w:cs="仿宋_GB2312"/>
          <w:b w:val="0"/>
          <w:bCs w:val="0"/>
          <w:color w:val="auto"/>
          <w:sz w:val="32"/>
          <w:szCs w:val="32"/>
        </w:rPr>
        <w:t>获得荣誉（奖学金</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奖项</w:t>
      </w:r>
      <w:r>
        <w:rPr>
          <w:rFonts w:hint="eastAsia" w:ascii="仿宋_GB2312" w:hAnsi="仿宋_GB2312" w:eastAsia="仿宋_GB2312" w:cs="仿宋_GB2312"/>
          <w:b w:val="0"/>
          <w:bCs w:val="0"/>
          <w:color w:val="auto"/>
          <w:sz w:val="32"/>
          <w:szCs w:val="32"/>
        </w:rPr>
        <w:t>）情</w:t>
      </w:r>
      <w:r>
        <w:rPr>
          <w:rFonts w:hint="eastAsia" w:ascii="仿宋_GB2312" w:hAnsi="仿宋_GB2312" w:eastAsia="仿宋_GB2312" w:cs="仿宋_GB2312"/>
          <w:color w:val="auto"/>
          <w:sz w:val="32"/>
          <w:szCs w:val="32"/>
        </w:rPr>
        <w:t>况，进行量化评分</w:t>
      </w:r>
      <w:r>
        <w:rPr>
          <w:rFonts w:hint="eastAsia" w:ascii="仿宋_GB2312" w:hAnsi="仿宋_GB2312" w:eastAsia="仿宋_GB2312" w:cs="仿宋_GB2312"/>
          <w:b w:val="0"/>
          <w:bCs w:val="0"/>
          <w:color w:val="auto"/>
          <w:sz w:val="32"/>
          <w:szCs w:val="32"/>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rPr>
        <w:t>（</w:t>
      </w:r>
      <w:r>
        <w:rPr>
          <w:rFonts w:ascii="仿宋_GB2312" w:hAnsi="仿宋_GB2312" w:eastAsia="仿宋_GB2312" w:cs="仿宋_GB2312"/>
          <w:b w:val="0"/>
          <w:bCs w:val="0"/>
          <w:color w:val="auto"/>
          <w:sz w:val="32"/>
          <w:szCs w:val="32"/>
        </w:rPr>
        <w:t>1</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color w:val="auto"/>
          <w:sz w:val="32"/>
          <w:szCs w:val="32"/>
        </w:rPr>
        <w:t>获得</w:t>
      </w:r>
      <w:r>
        <w:rPr>
          <w:rFonts w:hint="eastAsia" w:ascii="仿宋_GB2312" w:hAnsi="仿宋_GB2312" w:eastAsia="仿宋_GB2312" w:cs="仿宋_GB2312"/>
          <w:color w:val="auto"/>
          <w:sz w:val="32"/>
          <w:szCs w:val="32"/>
          <w:lang w:val="en-US" w:eastAsia="zh-CN"/>
        </w:rPr>
        <w:t>国家级赛事奖项；</w:t>
      </w:r>
      <w:r>
        <w:rPr>
          <w:rFonts w:hint="eastAsia" w:ascii="仿宋_GB2312" w:hAnsi="仿宋_GB2312" w:eastAsia="仿宋_GB2312" w:cs="仿宋_GB2312"/>
          <w:b w:val="0"/>
          <w:bCs w:val="0"/>
          <w:color w:val="auto"/>
          <w:sz w:val="32"/>
          <w:szCs w:val="32"/>
        </w:rPr>
        <w:t>获得省级及以上荣誉（奖学金）；青年马克思主义培养工程</w:t>
      </w:r>
      <w:r>
        <w:rPr>
          <w:rFonts w:hint="eastAsia" w:ascii="仿宋_GB2312" w:hAnsi="仿宋_GB2312" w:eastAsia="仿宋_GB2312" w:cs="仿宋_GB2312"/>
          <w:b w:val="0"/>
          <w:bCs w:val="0"/>
          <w:color w:val="auto"/>
          <w:sz w:val="32"/>
          <w:szCs w:val="32"/>
          <w:lang w:val="en-US" w:eastAsia="zh-CN"/>
        </w:rPr>
        <w:t>省级班</w:t>
      </w:r>
      <w:r>
        <w:rPr>
          <w:rFonts w:hint="eastAsia" w:ascii="仿宋_GB2312" w:hAnsi="仿宋_GB2312" w:eastAsia="仿宋_GB2312" w:cs="仿宋_GB2312"/>
          <w:b w:val="0"/>
          <w:bCs w:val="0"/>
          <w:color w:val="auto"/>
          <w:sz w:val="32"/>
          <w:szCs w:val="32"/>
        </w:rPr>
        <w:t>结业学员</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）获得市级荣誉（奖学金）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color w:val="auto"/>
          <w:sz w:val="32"/>
          <w:szCs w:val="32"/>
        </w:rPr>
        <w:t>青年马克思主义培养工程</w:t>
      </w:r>
      <w:r>
        <w:rPr>
          <w:rFonts w:hint="eastAsia" w:ascii="仿宋_GB2312" w:hAnsi="仿宋_GB2312" w:eastAsia="仿宋_GB2312" w:cs="仿宋_GB2312"/>
          <w:b w:val="0"/>
          <w:bCs w:val="0"/>
          <w:color w:val="auto"/>
          <w:sz w:val="32"/>
          <w:szCs w:val="32"/>
          <w:lang w:val="en-US" w:eastAsia="zh-CN"/>
        </w:rPr>
        <w:t>市级班</w:t>
      </w:r>
      <w:r>
        <w:rPr>
          <w:rFonts w:hint="eastAsia" w:ascii="仿宋_GB2312" w:hAnsi="仿宋_GB2312" w:eastAsia="仿宋_GB2312" w:cs="仿宋_GB2312"/>
          <w:b w:val="0"/>
          <w:bCs w:val="0"/>
          <w:color w:val="auto"/>
          <w:sz w:val="32"/>
          <w:szCs w:val="32"/>
        </w:rPr>
        <w:t>结业学员</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）获得</w:t>
      </w:r>
      <w:r>
        <w:rPr>
          <w:rFonts w:hint="eastAsia" w:ascii="仿宋_GB2312" w:hAnsi="仿宋_GB2312" w:eastAsia="仿宋_GB2312" w:cs="仿宋_GB2312"/>
          <w:color w:val="auto"/>
          <w:sz w:val="32"/>
          <w:szCs w:val="32"/>
          <w:lang w:val="en-US" w:eastAsia="zh-CN"/>
        </w:rPr>
        <w:t>省级赛事（活动）奖项；</w:t>
      </w:r>
      <w:r>
        <w:rPr>
          <w:rFonts w:hint="eastAsia" w:ascii="仿宋_GB2312" w:hAnsi="仿宋_GB2312" w:eastAsia="仿宋_GB2312" w:cs="仿宋_GB2312"/>
          <w:color w:val="auto"/>
          <w:sz w:val="32"/>
          <w:szCs w:val="32"/>
        </w:rPr>
        <w:t>获得校级荣誉（奖学金，含校级以上家庭经济困难学生奖学金）</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sz w:val="32"/>
          <w:szCs w:val="32"/>
        </w:rPr>
        <w:t>青年马克思主义培养工程</w:t>
      </w:r>
      <w:r>
        <w:rPr>
          <w:rFonts w:hint="eastAsia" w:ascii="仿宋_GB2312" w:hAnsi="仿宋_GB2312" w:eastAsia="仿宋_GB2312" w:cs="仿宋_GB2312"/>
          <w:b w:val="0"/>
          <w:bCs w:val="0"/>
          <w:color w:val="auto"/>
          <w:sz w:val="32"/>
          <w:szCs w:val="32"/>
          <w:lang w:val="en-US" w:eastAsia="zh-CN"/>
        </w:rPr>
        <w:t>校级班</w:t>
      </w:r>
      <w:r>
        <w:rPr>
          <w:rFonts w:hint="eastAsia" w:ascii="仿宋_GB2312" w:hAnsi="仿宋_GB2312" w:eastAsia="仿宋_GB2312" w:cs="仿宋_GB2312"/>
          <w:b w:val="0"/>
          <w:bCs w:val="0"/>
          <w:color w:val="auto"/>
          <w:sz w:val="32"/>
          <w:szCs w:val="32"/>
        </w:rPr>
        <w:t>结业学员</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获得荣誉包括在校获省级及以上、市级、校级</w:t>
      </w:r>
      <w:r>
        <w:rPr>
          <w:rFonts w:hint="eastAsia" w:ascii="仿宋_GB2312" w:hAnsi="仿宋_GB2312" w:eastAsia="仿宋_GB2312" w:cs="仿宋_GB2312"/>
          <w:b/>
          <w:bCs/>
          <w:color w:val="auto"/>
          <w:sz w:val="32"/>
          <w:szCs w:val="32"/>
        </w:rPr>
        <w:t>优秀学生干部、优秀学生、</w:t>
      </w:r>
      <w:r>
        <w:rPr>
          <w:rFonts w:hint="eastAsia" w:ascii="仿宋_GB2312" w:hAnsi="仿宋_GB2312" w:eastAsia="仿宋_GB2312" w:cs="仿宋_GB2312"/>
          <w:b/>
          <w:bCs/>
          <w:color w:val="auto"/>
          <w:sz w:val="32"/>
          <w:szCs w:val="32"/>
          <w:lang w:eastAsia="zh-CN"/>
        </w:rPr>
        <w:t>优</w:t>
      </w:r>
      <w:r>
        <w:rPr>
          <w:rFonts w:hint="eastAsia" w:ascii="仿宋_GB2312" w:hAnsi="仿宋_GB2312" w:eastAsia="仿宋_GB2312" w:cs="仿宋_GB2312"/>
          <w:b/>
          <w:bCs/>
          <w:color w:val="auto"/>
          <w:sz w:val="32"/>
          <w:szCs w:val="32"/>
        </w:rPr>
        <w:t>秀</w:t>
      </w:r>
      <w:r>
        <w:rPr>
          <w:rFonts w:hint="eastAsia" w:ascii="仿宋_GB2312" w:hAnsi="仿宋_GB2312" w:eastAsia="仿宋_GB2312" w:cs="仿宋_GB2312"/>
          <w:b/>
          <w:bCs/>
          <w:color w:val="auto"/>
          <w:sz w:val="32"/>
          <w:szCs w:val="32"/>
          <w:lang w:eastAsia="zh-CN"/>
        </w:rPr>
        <w:t>团干、</w:t>
      </w:r>
      <w:r>
        <w:rPr>
          <w:rFonts w:hint="eastAsia" w:ascii="仿宋_GB2312" w:hAnsi="仿宋_GB2312" w:eastAsia="仿宋_GB2312" w:cs="仿宋_GB2312"/>
          <w:b/>
          <w:bCs/>
          <w:color w:val="auto"/>
          <w:sz w:val="32"/>
          <w:szCs w:val="32"/>
        </w:rPr>
        <w:t>三好学生、优秀毕业生</w:t>
      </w:r>
      <w:r>
        <w:rPr>
          <w:rFonts w:hint="eastAsia" w:ascii="仿宋_GB2312" w:hAnsi="仿宋_GB2312" w:eastAsia="仿宋_GB2312" w:cs="仿宋_GB2312"/>
          <w:b w:val="0"/>
          <w:bCs w:val="0"/>
          <w:color w:val="auto"/>
          <w:sz w:val="32"/>
          <w:szCs w:val="32"/>
        </w:rPr>
        <w:t>荣誉称号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获得奖学金不包括捐助类奖学金、助学金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国家励志奖学金等校级以上家庭经济困难类奖学金按照校级奖学金评分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获得家庭经济困难类奖学金报名人员已享受困难状况加分，</w:t>
      </w:r>
      <w:r>
        <w:rPr>
          <w:rFonts w:hint="eastAsia" w:ascii="仿宋_GB2312" w:hAnsi="仿宋_GB2312" w:eastAsia="仿宋_GB2312" w:cs="仿宋_GB2312"/>
          <w:color w:val="auto"/>
          <w:sz w:val="32"/>
          <w:szCs w:val="32"/>
          <w:lang w:val="en-US" w:eastAsia="zh-CN"/>
        </w:rPr>
        <w:t>也</w:t>
      </w:r>
      <w:r>
        <w:rPr>
          <w:rFonts w:hint="eastAsia" w:ascii="仿宋_GB2312" w:hAnsi="仿宋_GB2312" w:eastAsia="仿宋_GB2312" w:cs="仿宋_GB2312"/>
          <w:color w:val="auto"/>
          <w:sz w:val="32"/>
          <w:szCs w:val="32"/>
        </w:rPr>
        <w:t>不再重复加分。</w:t>
      </w:r>
      <w:r>
        <w:rPr>
          <w:rFonts w:hint="eastAsia" w:ascii="仿宋_GB2312" w:hAnsi="仿宋_GB2312" w:eastAsia="仿宋_GB2312" w:cs="仿宋_GB2312"/>
          <w:color w:val="auto"/>
          <w:sz w:val="32"/>
          <w:szCs w:val="32"/>
          <w:lang w:val="en-US" w:eastAsia="zh-CN"/>
        </w:rPr>
        <w:t>获得奖项</w:t>
      </w:r>
      <w:r>
        <w:rPr>
          <w:rFonts w:hint="eastAsia" w:ascii="仿宋_GB2312" w:hAnsi="仿宋_GB2312" w:eastAsia="仿宋_GB2312" w:cs="仿宋_GB2312"/>
          <w:strike w:val="0"/>
          <w:dstrike w:val="0"/>
          <w:color w:val="auto"/>
          <w:sz w:val="32"/>
          <w:szCs w:val="32"/>
        </w:rPr>
        <w:t>包括</w:t>
      </w:r>
      <w:r>
        <w:rPr>
          <w:rFonts w:hint="eastAsia" w:ascii="仿宋_GB2312" w:hAnsi="仿宋_GB2312" w:eastAsia="仿宋_GB2312" w:cs="仿宋_GB2312"/>
          <w:strike w:val="0"/>
          <w:dstrike w:val="0"/>
          <w:color w:val="auto"/>
          <w:sz w:val="32"/>
          <w:szCs w:val="32"/>
          <w:lang w:val="en-US" w:eastAsia="zh-CN"/>
        </w:rPr>
        <w:t>政府部门主办</w:t>
      </w:r>
      <w:r>
        <w:rPr>
          <w:rFonts w:hint="eastAsia" w:ascii="仿宋_GB2312" w:hAnsi="仿宋_GB2312" w:eastAsia="仿宋_GB2312" w:cs="仿宋_GB2312"/>
          <w:b/>
          <w:bCs/>
          <w:strike w:val="0"/>
          <w:dstrike w:val="0"/>
          <w:color w:val="auto"/>
          <w:sz w:val="32"/>
          <w:szCs w:val="32"/>
          <w:lang w:val="en-US" w:eastAsia="zh-CN"/>
        </w:rPr>
        <w:t>省级及以上职业技能大赛、</w:t>
      </w:r>
      <w:r>
        <w:rPr>
          <w:rFonts w:hint="eastAsia" w:ascii="仿宋_GB2312" w:hAnsi="仿宋_GB2312" w:eastAsia="仿宋_GB2312" w:cs="仿宋_GB2312"/>
          <w:b/>
          <w:bCs/>
          <w:strike w:val="0"/>
          <w:dstrike w:val="0"/>
          <w:color w:val="auto"/>
          <w:sz w:val="32"/>
          <w:szCs w:val="32"/>
          <w:lang w:eastAsia="zh-CN"/>
        </w:rPr>
        <w:t>职业规划大赛、创新创业大赛三等奖及以上、大中专毕业生创业省级资助</w:t>
      </w:r>
      <w:r>
        <w:rPr>
          <w:rFonts w:hint="eastAsia" w:ascii="仿宋_GB2312" w:hAnsi="仿宋_GB2312" w:eastAsia="仿宋_GB2312" w:cs="仿宋_GB2312"/>
          <w:strike w:val="0"/>
          <w:dstrike w:val="0"/>
          <w:color w:val="auto"/>
          <w:sz w:val="32"/>
          <w:szCs w:val="32"/>
          <w:lang w:eastAsia="zh-CN"/>
        </w:rPr>
        <w:t>。</w:t>
      </w:r>
      <w:r>
        <w:rPr>
          <w:rFonts w:hint="eastAsia" w:ascii="仿宋_GB2312" w:hAnsi="仿宋_GB2312" w:eastAsia="仿宋_GB2312" w:cs="仿宋_GB2312"/>
          <w:b/>
          <w:bCs/>
          <w:color w:val="auto"/>
          <w:sz w:val="32"/>
          <w:szCs w:val="32"/>
        </w:rPr>
        <w:t>荣誉（奖学金</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奖项</w:t>
      </w:r>
      <w:r>
        <w:rPr>
          <w:rFonts w:hint="eastAsia" w:ascii="仿宋_GB2312" w:hAnsi="仿宋_GB2312" w:eastAsia="仿宋_GB2312" w:cs="仿宋_GB2312"/>
          <w:b/>
          <w:bCs/>
          <w:color w:val="auto"/>
          <w:sz w:val="32"/>
          <w:szCs w:val="32"/>
        </w:rPr>
        <w:t>）以提供的证书为准（校级以上荣誉、奖学金</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奖项</w:t>
      </w:r>
      <w:r>
        <w:rPr>
          <w:rFonts w:hint="eastAsia" w:ascii="仿宋_GB2312" w:hAnsi="仿宋_GB2312" w:eastAsia="仿宋_GB2312" w:cs="仿宋_GB2312"/>
          <w:b/>
          <w:bCs/>
          <w:color w:val="auto"/>
          <w:sz w:val="32"/>
          <w:szCs w:val="32"/>
        </w:rPr>
        <w:t>证书应有政府部门公章，校级证书应有学校公章，不包括院校部处、二级学院或院系所发证书）</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荣誉（奖学金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奖项</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按照就高原则评分，不累计加分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报名人员</w:t>
      </w:r>
      <w:r>
        <w:rPr>
          <w:rFonts w:hint="eastAsia" w:ascii="仿宋_GB2312" w:hAnsi="仿宋_GB2312" w:eastAsia="仿宋_GB2312" w:cs="仿宋_GB2312"/>
          <w:color w:val="auto"/>
          <w:sz w:val="32"/>
          <w:szCs w:val="32"/>
        </w:rPr>
        <w:t>专业成绩</w:t>
      </w:r>
      <w:r>
        <w:rPr>
          <w:rFonts w:hint="eastAsia" w:ascii="仿宋_GB2312" w:hAnsi="仿宋_GB2312" w:eastAsia="仿宋_GB2312" w:cs="仿宋_GB2312"/>
          <w:color w:val="auto"/>
          <w:sz w:val="32"/>
          <w:szCs w:val="32"/>
          <w:lang w:val="en-US" w:eastAsia="zh-CN"/>
        </w:rPr>
        <w:t>排名</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获得荣誉（奖学金、奖项）情况应是在</w:t>
      </w:r>
      <w:r>
        <w:rPr>
          <w:rFonts w:hint="eastAsia" w:ascii="仿宋_GB2312" w:hAnsi="仿宋_GB2312" w:eastAsia="仿宋_GB2312" w:cs="仿宋_GB2312"/>
          <w:b/>
          <w:bCs/>
          <w:color w:val="auto"/>
          <w:sz w:val="32"/>
          <w:szCs w:val="32"/>
          <w:lang w:val="en-US" w:eastAsia="zh-CN"/>
        </w:rPr>
        <w:t>报名</w:t>
      </w:r>
      <w:r>
        <w:rPr>
          <w:rFonts w:hint="eastAsia" w:ascii="仿宋_GB2312" w:hAnsi="仿宋_GB2312" w:eastAsia="仿宋_GB2312" w:cs="仿宋_GB2312"/>
          <w:b/>
          <w:bCs/>
          <w:color w:val="auto"/>
          <w:sz w:val="32"/>
          <w:szCs w:val="32"/>
        </w:rPr>
        <w:t>学历</w:t>
      </w:r>
      <w:r>
        <w:rPr>
          <w:rFonts w:hint="eastAsia" w:ascii="仿宋_GB2312" w:hAnsi="仿宋_GB2312" w:eastAsia="仿宋_GB2312" w:cs="仿宋_GB2312"/>
          <w:b/>
          <w:bCs/>
          <w:color w:val="auto"/>
          <w:sz w:val="32"/>
          <w:szCs w:val="32"/>
          <w:lang w:val="en-US" w:eastAsia="zh-CN"/>
        </w:rPr>
        <w:t>期间</w:t>
      </w:r>
      <w:r>
        <w:rPr>
          <w:rFonts w:hint="eastAsia" w:ascii="仿宋_GB2312" w:hAnsi="仿宋_GB2312" w:eastAsia="仿宋_GB2312" w:cs="仿宋_GB2312"/>
          <w:color w:val="auto"/>
          <w:sz w:val="32"/>
          <w:szCs w:val="32"/>
          <w:lang w:val="en-US" w:eastAsia="zh-CN"/>
        </w:rPr>
        <w:t>取得</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outlineLvl w:val="9"/>
        <w:rPr>
          <w:rFonts w:ascii="黑体" w:hAnsi="黑体" w:eastAsia="黑体" w:cs="黑体"/>
          <w:color w:val="auto"/>
          <w:sz w:val="32"/>
          <w:szCs w:val="32"/>
        </w:rPr>
      </w:pPr>
      <w:r>
        <w:rPr>
          <w:rFonts w:hint="eastAsia" w:ascii="黑体" w:hAnsi="黑体" w:eastAsia="黑体" w:cs="黑体"/>
          <w:color w:val="auto"/>
          <w:sz w:val="32"/>
          <w:szCs w:val="32"/>
        </w:rPr>
        <w:t>五、工作要求</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坚持“谁审核、谁把关、谁负责”的原则，省</w:t>
      </w:r>
      <w:r>
        <w:rPr>
          <w:rFonts w:hint="eastAsia" w:ascii="仿宋_GB2312" w:hAnsi="仿宋_GB2312" w:eastAsia="仿宋_GB2312" w:cs="仿宋_GB2312"/>
          <w:color w:val="auto"/>
          <w:sz w:val="32"/>
          <w:szCs w:val="32"/>
          <w:lang w:eastAsia="zh-CN"/>
        </w:rPr>
        <w:t>大中专毕业生就业工作领导小组办公室</w:t>
      </w:r>
      <w:r>
        <w:rPr>
          <w:rFonts w:hint="eastAsia" w:ascii="仿宋_GB2312" w:hAnsi="仿宋_GB2312" w:eastAsia="仿宋_GB2312" w:cs="仿宋_GB2312"/>
          <w:color w:val="auto"/>
          <w:sz w:val="32"/>
          <w:szCs w:val="32"/>
        </w:rPr>
        <w:t>负责报名人员审核工作的统筹指导，各院校负责报名人员审核工作的具体组织实施。各院校</w:t>
      </w:r>
      <w:r>
        <w:rPr>
          <w:rFonts w:hint="eastAsia" w:ascii="仿宋_GB2312" w:hAnsi="仿宋_GB2312" w:eastAsia="仿宋_GB2312" w:cs="仿宋_GB2312"/>
          <w:color w:val="auto"/>
          <w:sz w:val="32"/>
          <w:szCs w:val="32"/>
          <w:lang w:val="en-US" w:eastAsia="zh-CN"/>
        </w:rPr>
        <w:t>应于</w:t>
      </w:r>
      <w:r>
        <w:rPr>
          <w:rFonts w:hint="eastAsia" w:ascii="仿宋_GB2312" w:hAnsi="仿宋_GB2312" w:eastAsia="仿宋_GB2312" w:cs="仿宋_GB2312"/>
          <w:b/>
          <w:bCs/>
          <w:color w:val="auto"/>
          <w:sz w:val="32"/>
          <w:szCs w:val="32"/>
          <w:lang w:val="en-US" w:eastAsia="zh-CN"/>
        </w:rPr>
        <w:t>5</w:t>
      </w:r>
      <w:r>
        <w:rPr>
          <w:rFonts w:hint="eastAsia" w:ascii="仿宋_GB2312" w:hAnsi="仿宋_GB2312" w:eastAsia="仿宋_GB2312" w:cs="仿宋_GB2312"/>
          <w:b/>
          <w:bCs/>
          <w:color w:val="auto"/>
          <w:sz w:val="32"/>
          <w:szCs w:val="32"/>
        </w:rPr>
        <w:t>月</w:t>
      </w:r>
      <w:r>
        <w:rPr>
          <w:rFonts w:hint="eastAsia" w:ascii="仿宋_GB2312" w:hAnsi="仿宋_GB2312" w:eastAsia="仿宋_GB2312" w:cs="仿宋_GB2312"/>
          <w:b/>
          <w:bCs/>
          <w:color w:val="auto"/>
          <w:sz w:val="32"/>
          <w:szCs w:val="32"/>
          <w:lang w:val="en-US" w:eastAsia="zh-CN"/>
        </w:rPr>
        <w:t>10</w:t>
      </w:r>
      <w:r>
        <w:rPr>
          <w:rFonts w:hint="eastAsia" w:ascii="仿宋_GB2312" w:hAnsi="仿宋_GB2312" w:eastAsia="仿宋_GB2312" w:cs="仿宋_GB2312"/>
          <w:b/>
          <w:bCs/>
          <w:color w:val="auto"/>
          <w:sz w:val="32"/>
          <w:szCs w:val="32"/>
        </w:rPr>
        <w:t>日</w:t>
      </w:r>
      <w:r>
        <w:rPr>
          <w:rFonts w:hint="eastAsia" w:ascii="仿宋_GB2312" w:hAnsi="仿宋_GB2312" w:eastAsia="仿宋_GB2312" w:cs="仿宋_GB2312"/>
          <w:b/>
          <w:bCs/>
          <w:color w:val="auto"/>
          <w:sz w:val="32"/>
          <w:szCs w:val="32"/>
          <w:lang w:val="en-US" w:eastAsia="zh-CN"/>
        </w:rPr>
        <w:t>前</w:t>
      </w:r>
      <w:r>
        <w:rPr>
          <w:rFonts w:hint="eastAsia" w:ascii="仿宋_GB2312" w:hAnsi="仿宋_GB2312" w:eastAsia="仿宋_GB2312" w:cs="仿宋_GB2312"/>
          <w:color w:val="auto"/>
          <w:sz w:val="32"/>
          <w:szCs w:val="32"/>
        </w:rPr>
        <w:t>完成</w:t>
      </w:r>
      <w:r>
        <w:rPr>
          <w:rFonts w:hint="eastAsia" w:ascii="仿宋_GB2312" w:hAnsi="仿宋_GB2312" w:eastAsia="仿宋_GB2312" w:cs="仿宋_GB2312"/>
          <w:color w:val="auto"/>
          <w:sz w:val="32"/>
          <w:szCs w:val="32"/>
          <w:lang w:val="en-US" w:eastAsia="zh-CN"/>
        </w:rPr>
        <w:t>审核</w:t>
      </w:r>
      <w:r>
        <w:rPr>
          <w:rFonts w:hint="eastAsia" w:ascii="仿宋_GB2312" w:hAnsi="仿宋_GB2312" w:eastAsia="仿宋_GB2312" w:cs="仿宋_GB2312"/>
          <w:color w:val="auto"/>
          <w:sz w:val="32"/>
          <w:szCs w:val="32"/>
        </w:rPr>
        <w:t>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在系统提交地市人社部门审核。并将《</w:t>
      </w:r>
      <w:r>
        <w:rPr>
          <w:rFonts w:hint="eastAsia" w:ascii="仿宋_GB2312" w:hAnsi="仿宋_GB2312" w:eastAsia="仿宋_GB2312" w:cs="仿宋_GB2312"/>
          <w:color w:val="auto"/>
          <w:sz w:val="32"/>
          <w:szCs w:val="32"/>
        </w:rPr>
        <w:t>福建省</w:t>
      </w:r>
      <w:r>
        <w:rPr>
          <w:rFonts w:hint="eastAsia" w:ascii="仿宋_GB2312" w:hAnsi="仿宋_GB2312" w:eastAsia="仿宋_GB2312" w:cs="仿宋_GB2312"/>
          <w:color w:val="auto"/>
          <w:sz w:val="32"/>
          <w:szCs w:val="32"/>
          <w:lang w:eastAsia="zh-CN"/>
        </w:rPr>
        <w:t>2024年</w:t>
      </w:r>
      <w:r>
        <w:rPr>
          <w:rFonts w:hint="eastAsia" w:ascii="仿宋_GB2312" w:hAnsi="仿宋_GB2312" w:eastAsia="仿宋_GB2312" w:cs="仿宋_GB2312"/>
          <w:color w:val="auto"/>
          <w:sz w:val="32"/>
          <w:szCs w:val="32"/>
        </w:rPr>
        <w:t>省级“三支一扶”计划省内高校毕业生报名人员考核汇总表</w:t>
      </w:r>
      <w:r>
        <w:rPr>
          <w:rFonts w:hint="eastAsia" w:ascii="仿宋_GB2312" w:hAnsi="仿宋_GB2312" w:eastAsia="仿宋_GB2312" w:cs="仿宋_GB2312"/>
          <w:color w:val="auto"/>
          <w:sz w:val="32"/>
          <w:szCs w:val="32"/>
          <w:lang w:val="en-US" w:eastAsia="zh-CN"/>
        </w:rPr>
        <w:t>》，加盖</w:t>
      </w:r>
      <w:r>
        <w:rPr>
          <w:rFonts w:hint="eastAsia" w:ascii="仿宋_GB2312" w:hAnsi="仿宋_GB2312" w:eastAsia="仿宋_GB2312" w:cs="仿宋_GB2312"/>
          <w:color w:val="auto"/>
          <w:sz w:val="32"/>
          <w:szCs w:val="32"/>
        </w:rPr>
        <w:t>院</w:t>
      </w:r>
      <w:r>
        <w:rPr>
          <w:rFonts w:hint="eastAsia" w:ascii="仿宋_GB2312" w:hAnsi="仿宋_GB2312" w:eastAsia="仿宋_GB2312" w:cs="仿宋_GB2312"/>
          <w:color w:val="auto"/>
          <w:sz w:val="32"/>
          <w:szCs w:val="32"/>
          <w:lang w:val="en-US" w:eastAsia="zh-CN"/>
        </w:rPr>
        <w:t>校或就业工作部门公章后于5月17日前</w:t>
      </w:r>
      <w:r>
        <w:rPr>
          <w:rFonts w:hint="eastAsia" w:ascii="仿宋_GB2312" w:hAnsi="仿宋_GB2312" w:eastAsia="仿宋_GB2312" w:cs="仿宋_GB2312"/>
          <w:b/>
          <w:bCs/>
          <w:color w:val="auto"/>
          <w:sz w:val="32"/>
          <w:szCs w:val="32"/>
          <w:lang w:val="en-US" w:eastAsia="zh-CN"/>
        </w:rPr>
        <w:t>寄送至报名岗位所在设区市人社部门（注意：按照报名岗位所在地分别寄送对应设区市人社部门）</w:t>
      </w:r>
      <w:r>
        <w:rPr>
          <w:rFonts w:hint="eastAsia" w:ascii="仿宋_GB2312" w:hAnsi="仿宋_GB2312" w:eastAsia="仿宋_GB2312" w:cs="仿宋_GB2312"/>
          <w:color w:val="auto"/>
          <w:sz w:val="32"/>
          <w:szCs w:val="32"/>
        </w:rPr>
        <w:t>。审核过程中，如出现徇私舞弊或失职渎职的，将依照相关规定追究有关人员责任。</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outlineLvl w:val="9"/>
        <w:rPr>
          <w:rFonts w:hint="eastAsia" w:ascii="仿宋_GB2312" w:hAnsi="仿宋_GB2312" w:eastAsia="仿宋_GB2312" w:cs="仿宋_GB2312"/>
          <w:color w:val="auto"/>
          <w:sz w:val="32"/>
          <w:szCs w:val="32"/>
        </w:rPr>
      </w:pPr>
    </w:p>
    <w:p>
      <w:pPr>
        <w:pStyle w:val="5"/>
        <w:shd w:val="clear" w:color="auto" w:fill="FFFFFF"/>
        <w:spacing w:before="0" w:beforeAutospacing="0" w:after="0" w:afterAutospacing="0" w:line="555" w:lineRule="atLeast"/>
        <w:textAlignment w:val="baseline"/>
        <w:rPr>
          <w:rFonts w:ascii="仿宋_GB2312" w:hAnsi="仿宋_GB2312" w:eastAsia="仿宋_GB2312" w:cs="仿宋_GB2312"/>
          <w:sz w:val="32"/>
          <w:szCs w:val="32"/>
        </w:rPr>
      </w:pP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（龙岩市人社局“三支一扶”业务经办部门联系方式：</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联系人：杨女士， 联系电话：0597-3298291</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地址：龙岩市新罗区金融中心B2栋农业银行14楼          </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龙岩市公共就业和人才服务中心1425办公室）</w:t>
      </w:r>
    </w:p>
    <w:p>
      <w:pPr>
        <w:jc w:val="left"/>
        <w:rPr>
          <w:rFonts w:ascii="仿宋_GB2312" w:hAnsi="黑体" w:eastAsia="仿宋_GB2312" w:cs="Times New Roman"/>
          <w:sz w:val="32"/>
          <w:szCs w:val="32"/>
        </w:rPr>
      </w:pPr>
    </w:p>
    <w:p>
      <w:pPr>
        <w:jc w:val="left"/>
        <w:rPr>
          <w:rFonts w:ascii="仿宋_GB2312" w:hAnsi="黑体" w:eastAsia="仿宋_GB2312" w:cs="Times New Roman"/>
          <w:sz w:val="32"/>
          <w:szCs w:val="32"/>
        </w:rPr>
        <w:sectPr>
          <w:headerReference r:id="rId3" w:type="default"/>
          <w:footerReference r:id="rId4" w:type="default"/>
          <w:pgSz w:w="11906" w:h="16838"/>
          <w:pgMar w:top="1440" w:right="1474" w:bottom="1440" w:left="1588" w:header="851" w:footer="992" w:gutter="0"/>
          <w:cols w:space="720" w:num="1"/>
          <w:docGrid w:type="linesAndChars" w:linePitch="312" w:charSpace="0"/>
        </w:sectPr>
      </w:pPr>
    </w:p>
    <w:p>
      <w:pPr>
        <w:spacing w:line="520" w:lineRule="exact"/>
        <w:jc w:val="center"/>
        <w:rPr>
          <w:rFonts w:ascii="宋体"/>
          <w:b/>
          <w:sz w:val="36"/>
          <w:szCs w:val="36"/>
        </w:rPr>
      </w:pPr>
      <w:r>
        <w:rPr>
          <w:rFonts w:hint="eastAsia" w:ascii="宋体"/>
          <w:b/>
          <w:sz w:val="36"/>
          <w:szCs w:val="36"/>
        </w:rPr>
        <w:t>福建省</w:t>
      </w:r>
      <w:r>
        <w:rPr>
          <w:rFonts w:ascii="宋体"/>
          <w:b/>
          <w:sz w:val="36"/>
          <w:szCs w:val="36"/>
        </w:rPr>
        <w:t>202</w:t>
      </w:r>
      <w:r>
        <w:rPr>
          <w:rFonts w:hint="eastAsia" w:ascii="宋体"/>
          <w:b/>
          <w:sz w:val="36"/>
          <w:szCs w:val="36"/>
          <w:lang w:val="en-US" w:eastAsia="zh-CN"/>
        </w:rPr>
        <w:t>4</w:t>
      </w:r>
      <w:r>
        <w:rPr>
          <w:rFonts w:hint="eastAsia" w:ascii="宋体"/>
          <w:b/>
          <w:sz w:val="36"/>
          <w:szCs w:val="36"/>
        </w:rPr>
        <w:t>年“三支一扶”计划省内高校毕业生报名人员考核汇总表（龙岩）</w:t>
      </w:r>
    </w:p>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学校：（盖章）</w:t>
      </w:r>
    </w:p>
    <w:tbl>
      <w:tblPr>
        <w:tblStyle w:val="6"/>
        <w:tblW w:w="14415" w:type="dxa"/>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583"/>
        <w:gridCol w:w="762"/>
        <w:gridCol w:w="824"/>
        <w:gridCol w:w="486"/>
        <w:gridCol w:w="740"/>
        <w:gridCol w:w="729"/>
        <w:gridCol w:w="764"/>
        <w:gridCol w:w="671"/>
        <w:gridCol w:w="1377"/>
        <w:gridCol w:w="752"/>
        <w:gridCol w:w="1244"/>
        <w:gridCol w:w="1335"/>
        <w:gridCol w:w="2092"/>
        <w:gridCol w:w="1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8" w:hRule="atLeast"/>
        </w:trPr>
        <w:tc>
          <w:tcPr>
            <w:tcW w:w="443" w:type="dxa"/>
            <w:vAlign w:val="center"/>
          </w:tcPr>
          <w:p>
            <w:pPr>
              <w:spacing w:line="520" w:lineRule="exact"/>
              <w:jc w:val="center"/>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序号</w:t>
            </w:r>
          </w:p>
        </w:tc>
        <w:tc>
          <w:tcPr>
            <w:tcW w:w="583" w:type="dxa"/>
            <w:vAlign w:val="center"/>
          </w:tcPr>
          <w:p>
            <w:pPr>
              <w:spacing w:line="520" w:lineRule="exact"/>
              <w:jc w:val="center"/>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姓名</w:t>
            </w:r>
          </w:p>
        </w:tc>
        <w:tc>
          <w:tcPr>
            <w:tcW w:w="762" w:type="dxa"/>
            <w:vAlign w:val="center"/>
          </w:tcPr>
          <w:p>
            <w:pPr>
              <w:spacing w:line="520" w:lineRule="exact"/>
              <w:jc w:val="center"/>
              <w:rPr>
                <w:rFonts w:hint="default" w:ascii="仿宋_GB2312" w:hAnsi="仿宋_GB2312" w:eastAsia="仿宋_GB2312" w:cs="仿宋_GB2312"/>
                <w:b/>
                <w:bCs/>
                <w:color w:val="auto"/>
                <w:sz w:val="24"/>
                <w:lang w:val="en-US" w:eastAsia="zh-CN"/>
              </w:rPr>
            </w:pPr>
            <w:r>
              <w:rPr>
                <w:rFonts w:hint="eastAsia" w:ascii="仿宋_GB2312" w:hAnsi="仿宋_GB2312" w:eastAsia="仿宋_GB2312" w:cs="仿宋_GB2312"/>
                <w:b/>
                <w:bCs/>
                <w:color w:val="auto"/>
                <w:sz w:val="24"/>
                <w:lang w:val="en-US" w:eastAsia="zh-CN"/>
              </w:rPr>
              <w:t>身份证号</w:t>
            </w:r>
          </w:p>
        </w:tc>
        <w:tc>
          <w:tcPr>
            <w:tcW w:w="824" w:type="dxa"/>
            <w:vAlign w:val="center"/>
          </w:tcPr>
          <w:p>
            <w:pPr>
              <w:spacing w:line="520" w:lineRule="exact"/>
              <w:jc w:val="center"/>
              <w:rPr>
                <w:rFonts w:hint="eastAsia" w:ascii="仿宋_GB2312" w:hAnsi="仿宋_GB2312" w:eastAsia="仿宋_GB2312" w:cs="仿宋_GB2312"/>
                <w:b/>
                <w:bCs/>
                <w:color w:val="auto"/>
                <w:sz w:val="24"/>
                <w:lang w:val="en-US" w:eastAsia="zh-CN"/>
              </w:rPr>
            </w:pPr>
            <w:r>
              <w:rPr>
                <w:rFonts w:hint="eastAsia" w:ascii="仿宋_GB2312" w:hAnsi="仿宋_GB2312" w:eastAsia="仿宋_GB2312" w:cs="仿宋_GB2312"/>
                <w:b/>
                <w:bCs/>
                <w:color w:val="auto"/>
                <w:sz w:val="24"/>
                <w:lang w:val="en-US" w:eastAsia="zh-CN"/>
              </w:rPr>
              <w:t>生源地（精确到县）</w:t>
            </w:r>
          </w:p>
        </w:tc>
        <w:tc>
          <w:tcPr>
            <w:tcW w:w="486" w:type="dxa"/>
            <w:vAlign w:val="center"/>
          </w:tcPr>
          <w:p>
            <w:pPr>
              <w:spacing w:line="520" w:lineRule="exact"/>
              <w:jc w:val="center"/>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民族</w:t>
            </w:r>
          </w:p>
        </w:tc>
        <w:tc>
          <w:tcPr>
            <w:tcW w:w="740" w:type="dxa"/>
            <w:vAlign w:val="center"/>
          </w:tcPr>
          <w:p>
            <w:pPr>
              <w:spacing w:line="520" w:lineRule="exact"/>
              <w:jc w:val="center"/>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政治面貌</w:t>
            </w:r>
          </w:p>
        </w:tc>
        <w:tc>
          <w:tcPr>
            <w:tcW w:w="729" w:type="dxa"/>
            <w:vAlign w:val="center"/>
          </w:tcPr>
          <w:p>
            <w:pPr>
              <w:spacing w:line="520" w:lineRule="exact"/>
              <w:jc w:val="center"/>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是否属于全日制毕业生</w:t>
            </w:r>
          </w:p>
        </w:tc>
        <w:tc>
          <w:tcPr>
            <w:tcW w:w="764" w:type="dxa"/>
            <w:vAlign w:val="center"/>
          </w:tcPr>
          <w:p>
            <w:pPr>
              <w:spacing w:line="520" w:lineRule="exact"/>
              <w:jc w:val="center"/>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学历</w:t>
            </w:r>
          </w:p>
        </w:tc>
        <w:tc>
          <w:tcPr>
            <w:tcW w:w="671" w:type="dxa"/>
            <w:vAlign w:val="center"/>
          </w:tcPr>
          <w:p>
            <w:pPr>
              <w:spacing w:line="520" w:lineRule="exact"/>
              <w:jc w:val="center"/>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专业</w:t>
            </w:r>
          </w:p>
        </w:tc>
        <w:tc>
          <w:tcPr>
            <w:tcW w:w="1377" w:type="dxa"/>
            <w:vAlign w:val="center"/>
          </w:tcPr>
          <w:p>
            <w:pPr>
              <w:spacing w:line="520" w:lineRule="exact"/>
              <w:jc w:val="center"/>
              <w:rPr>
                <w:rFonts w:hint="eastAsia" w:ascii="仿宋_GB2312" w:hAnsi="仿宋_GB2312" w:eastAsia="仿宋_GB2312" w:cs="仿宋_GB2312"/>
                <w:b/>
                <w:bCs/>
                <w:color w:val="auto"/>
                <w:sz w:val="24"/>
                <w:lang w:val="en-US" w:eastAsia="zh-CN"/>
              </w:rPr>
            </w:pPr>
            <w:r>
              <w:rPr>
                <w:rFonts w:hint="eastAsia" w:ascii="仿宋_GB2312" w:hAnsi="仿宋_GB2312" w:eastAsia="仿宋_GB2312" w:cs="仿宋_GB2312"/>
                <w:b/>
                <w:bCs/>
                <w:color w:val="auto"/>
                <w:sz w:val="24"/>
                <w:lang w:val="en-US" w:eastAsia="zh-CN"/>
              </w:rPr>
              <w:t>报名单位</w:t>
            </w:r>
          </w:p>
        </w:tc>
        <w:tc>
          <w:tcPr>
            <w:tcW w:w="752" w:type="dxa"/>
            <w:vAlign w:val="center"/>
          </w:tcPr>
          <w:p>
            <w:pPr>
              <w:spacing w:line="520" w:lineRule="exact"/>
              <w:jc w:val="center"/>
              <w:rPr>
                <w:rFonts w:hint="eastAsia" w:ascii="仿宋_GB2312" w:hAnsi="仿宋_GB2312" w:eastAsia="仿宋_GB2312" w:cs="仿宋_GB2312"/>
                <w:b/>
                <w:bCs/>
                <w:color w:val="auto"/>
                <w:sz w:val="24"/>
              </w:rPr>
            </w:pPr>
            <w:r>
              <w:rPr>
                <w:rFonts w:hint="eastAsia" w:ascii="仿宋_GB2312" w:hAnsi="仿宋_GB2312" w:eastAsia="仿宋_GB2312" w:cs="仿宋_GB2312"/>
                <w:b/>
                <w:bCs/>
                <w:color w:val="auto"/>
                <w:sz w:val="24"/>
              </w:rPr>
              <w:t>专业成绩排名得分</w:t>
            </w:r>
          </w:p>
        </w:tc>
        <w:tc>
          <w:tcPr>
            <w:tcW w:w="1244" w:type="dxa"/>
            <w:vAlign w:val="center"/>
          </w:tcPr>
          <w:p>
            <w:pPr>
              <w:spacing w:line="520" w:lineRule="exact"/>
              <w:jc w:val="center"/>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专业成绩排名（</w:t>
            </w:r>
            <w:r>
              <w:rPr>
                <w:rFonts w:ascii="仿宋_GB2312" w:hAnsi="仿宋_GB2312" w:eastAsia="仿宋_GB2312" w:cs="仿宋_GB2312"/>
                <w:b/>
                <w:bCs/>
                <w:color w:val="auto"/>
                <w:sz w:val="24"/>
              </w:rPr>
              <w:t>%</w:t>
            </w:r>
            <w:r>
              <w:rPr>
                <w:rFonts w:hint="eastAsia" w:ascii="仿宋_GB2312" w:hAnsi="仿宋_GB2312" w:eastAsia="仿宋_GB2312" w:cs="仿宋_GB2312"/>
                <w:b/>
                <w:bCs/>
                <w:color w:val="auto"/>
                <w:sz w:val="24"/>
                <w:lang w:eastAsia="zh-CN"/>
              </w:rPr>
              <w:t>，</w:t>
            </w:r>
            <w:r>
              <w:rPr>
                <w:rFonts w:hint="eastAsia" w:ascii="仿宋_GB2312" w:hAnsi="仿宋_GB2312" w:eastAsia="仿宋_GB2312" w:cs="仿宋_GB2312"/>
                <w:b/>
                <w:bCs/>
                <w:color w:val="auto"/>
                <w:sz w:val="24"/>
                <w:lang w:val="en-US" w:eastAsia="zh-CN"/>
              </w:rPr>
              <w:t>精确到小数点后两位</w:t>
            </w:r>
            <w:r>
              <w:rPr>
                <w:rFonts w:hint="eastAsia" w:ascii="仿宋_GB2312" w:hAnsi="仿宋_GB2312" w:eastAsia="仿宋_GB2312" w:cs="仿宋_GB2312"/>
                <w:b/>
                <w:bCs/>
                <w:color w:val="auto"/>
                <w:sz w:val="24"/>
              </w:rPr>
              <w:t>）</w:t>
            </w:r>
          </w:p>
        </w:tc>
        <w:tc>
          <w:tcPr>
            <w:tcW w:w="1335" w:type="dxa"/>
            <w:vAlign w:val="center"/>
          </w:tcPr>
          <w:p>
            <w:pPr>
              <w:spacing w:line="520" w:lineRule="exact"/>
              <w:jc w:val="center"/>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lang w:val="en-US" w:eastAsia="zh-CN"/>
              </w:rPr>
              <w:t>获得荣誉（奖学金、奖项）</w:t>
            </w:r>
            <w:r>
              <w:rPr>
                <w:rFonts w:hint="eastAsia" w:ascii="仿宋_GB2312" w:hAnsi="仿宋_GB2312" w:eastAsia="仿宋_GB2312" w:cs="仿宋_GB2312"/>
                <w:b/>
                <w:bCs/>
                <w:color w:val="auto"/>
                <w:sz w:val="24"/>
              </w:rPr>
              <w:t>情况得分</w:t>
            </w:r>
          </w:p>
        </w:tc>
        <w:tc>
          <w:tcPr>
            <w:tcW w:w="2092" w:type="dxa"/>
            <w:vAlign w:val="center"/>
          </w:tcPr>
          <w:p>
            <w:pPr>
              <w:spacing w:line="520" w:lineRule="exact"/>
              <w:jc w:val="center"/>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lang w:val="en-US" w:eastAsia="zh-CN"/>
              </w:rPr>
              <w:t>获得荣誉（奖学金、奖项）</w:t>
            </w:r>
            <w:r>
              <w:rPr>
                <w:rFonts w:hint="eastAsia" w:ascii="仿宋_GB2312" w:hAnsi="仿宋_GB2312" w:eastAsia="仿宋_GB2312" w:cs="仿宋_GB2312"/>
                <w:b/>
                <w:bCs/>
                <w:color w:val="auto"/>
                <w:sz w:val="24"/>
              </w:rPr>
              <w:t>情况</w:t>
            </w:r>
          </w:p>
        </w:tc>
        <w:tc>
          <w:tcPr>
            <w:tcW w:w="1613" w:type="dxa"/>
            <w:vAlign w:val="center"/>
          </w:tcPr>
          <w:p>
            <w:pPr>
              <w:spacing w:line="520" w:lineRule="exact"/>
              <w:jc w:val="center"/>
              <w:rPr>
                <w:rFonts w:hint="default" w:ascii="仿宋_GB2312" w:hAnsi="仿宋_GB2312" w:eastAsia="仿宋_GB2312" w:cs="仿宋_GB2312"/>
                <w:b/>
                <w:bCs/>
                <w:color w:val="auto"/>
                <w:sz w:val="24"/>
                <w:lang w:val="en-US" w:eastAsia="zh-CN"/>
              </w:rPr>
            </w:pPr>
            <w:r>
              <w:rPr>
                <w:rFonts w:hint="eastAsia" w:ascii="仿宋_GB2312" w:hAnsi="仿宋_GB2312" w:eastAsia="仿宋_GB2312" w:cs="仿宋_GB2312"/>
                <w:b/>
                <w:bCs/>
                <w:color w:val="auto"/>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trPr>
        <w:tc>
          <w:tcPr>
            <w:tcW w:w="443" w:type="dxa"/>
            <w:vAlign w:val="center"/>
          </w:tcPr>
          <w:p>
            <w:pPr>
              <w:spacing w:line="520" w:lineRule="exact"/>
              <w:jc w:val="center"/>
              <w:rPr>
                <w:rFonts w:ascii="仿宋_GB2312"/>
                <w:color w:val="auto"/>
                <w:sz w:val="24"/>
              </w:rPr>
            </w:pPr>
          </w:p>
        </w:tc>
        <w:tc>
          <w:tcPr>
            <w:tcW w:w="583" w:type="dxa"/>
            <w:vAlign w:val="center"/>
          </w:tcPr>
          <w:p>
            <w:pPr>
              <w:spacing w:line="520" w:lineRule="exact"/>
              <w:jc w:val="center"/>
              <w:rPr>
                <w:rFonts w:ascii="仿宋_GB2312"/>
                <w:color w:val="auto"/>
                <w:sz w:val="24"/>
              </w:rPr>
            </w:pPr>
          </w:p>
        </w:tc>
        <w:tc>
          <w:tcPr>
            <w:tcW w:w="762" w:type="dxa"/>
            <w:vAlign w:val="center"/>
          </w:tcPr>
          <w:p>
            <w:pPr>
              <w:spacing w:line="520" w:lineRule="exact"/>
              <w:jc w:val="center"/>
              <w:rPr>
                <w:rFonts w:ascii="仿宋_GB2312"/>
                <w:color w:val="auto"/>
                <w:sz w:val="24"/>
              </w:rPr>
            </w:pPr>
          </w:p>
        </w:tc>
        <w:tc>
          <w:tcPr>
            <w:tcW w:w="824" w:type="dxa"/>
            <w:vAlign w:val="center"/>
          </w:tcPr>
          <w:p>
            <w:pPr>
              <w:spacing w:line="520" w:lineRule="exact"/>
              <w:jc w:val="center"/>
              <w:rPr>
                <w:rFonts w:ascii="仿宋_GB2312"/>
                <w:color w:val="auto"/>
                <w:sz w:val="24"/>
              </w:rPr>
            </w:pPr>
          </w:p>
        </w:tc>
        <w:tc>
          <w:tcPr>
            <w:tcW w:w="486" w:type="dxa"/>
            <w:vAlign w:val="center"/>
          </w:tcPr>
          <w:p>
            <w:pPr>
              <w:spacing w:line="520" w:lineRule="exact"/>
              <w:jc w:val="center"/>
              <w:rPr>
                <w:rFonts w:ascii="仿宋_GB2312"/>
                <w:color w:val="auto"/>
                <w:sz w:val="24"/>
              </w:rPr>
            </w:pPr>
          </w:p>
        </w:tc>
        <w:tc>
          <w:tcPr>
            <w:tcW w:w="740" w:type="dxa"/>
            <w:vAlign w:val="center"/>
          </w:tcPr>
          <w:p>
            <w:pPr>
              <w:spacing w:line="520" w:lineRule="exact"/>
              <w:jc w:val="center"/>
              <w:rPr>
                <w:rFonts w:ascii="仿宋_GB2312"/>
                <w:color w:val="auto"/>
                <w:sz w:val="24"/>
              </w:rPr>
            </w:pPr>
          </w:p>
        </w:tc>
        <w:tc>
          <w:tcPr>
            <w:tcW w:w="729" w:type="dxa"/>
            <w:vAlign w:val="center"/>
          </w:tcPr>
          <w:p>
            <w:pPr>
              <w:spacing w:line="520" w:lineRule="exact"/>
              <w:jc w:val="center"/>
              <w:rPr>
                <w:rFonts w:ascii="仿宋_GB2312"/>
                <w:color w:val="auto"/>
                <w:sz w:val="24"/>
              </w:rPr>
            </w:pPr>
          </w:p>
        </w:tc>
        <w:tc>
          <w:tcPr>
            <w:tcW w:w="764" w:type="dxa"/>
            <w:vAlign w:val="center"/>
          </w:tcPr>
          <w:p>
            <w:pPr>
              <w:spacing w:line="520" w:lineRule="exact"/>
              <w:jc w:val="center"/>
              <w:rPr>
                <w:rFonts w:ascii="仿宋_GB2312"/>
                <w:color w:val="auto"/>
                <w:sz w:val="24"/>
              </w:rPr>
            </w:pPr>
          </w:p>
        </w:tc>
        <w:tc>
          <w:tcPr>
            <w:tcW w:w="671" w:type="dxa"/>
            <w:vAlign w:val="center"/>
          </w:tcPr>
          <w:p>
            <w:pPr>
              <w:spacing w:line="520" w:lineRule="exact"/>
              <w:jc w:val="center"/>
              <w:rPr>
                <w:rFonts w:ascii="仿宋_GB2312"/>
                <w:color w:val="auto"/>
                <w:sz w:val="24"/>
              </w:rPr>
            </w:pPr>
          </w:p>
        </w:tc>
        <w:tc>
          <w:tcPr>
            <w:tcW w:w="1377" w:type="dxa"/>
            <w:vAlign w:val="center"/>
          </w:tcPr>
          <w:p>
            <w:pPr>
              <w:spacing w:line="520" w:lineRule="exact"/>
              <w:jc w:val="center"/>
              <w:rPr>
                <w:rFonts w:ascii="仿宋_GB2312"/>
                <w:color w:val="auto"/>
                <w:sz w:val="24"/>
              </w:rPr>
            </w:pPr>
          </w:p>
        </w:tc>
        <w:tc>
          <w:tcPr>
            <w:tcW w:w="752" w:type="dxa"/>
            <w:vAlign w:val="center"/>
          </w:tcPr>
          <w:p>
            <w:pPr>
              <w:spacing w:line="520" w:lineRule="exact"/>
              <w:jc w:val="center"/>
              <w:rPr>
                <w:rFonts w:ascii="仿宋_GB2312"/>
                <w:color w:val="auto"/>
                <w:sz w:val="24"/>
              </w:rPr>
            </w:pPr>
          </w:p>
        </w:tc>
        <w:tc>
          <w:tcPr>
            <w:tcW w:w="1244" w:type="dxa"/>
            <w:vAlign w:val="center"/>
          </w:tcPr>
          <w:p>
            <w:pPr>
              <w:spacing w:line="520" w:lineRule="exact"/>
              <w:jc w:val="center"/>
              <w:rPr>
                <w:rFonts w:ascii="仿宋_GB2312"/>
                <w:color w:val="auto"/>
                <w:sz w:val="24"/>
              </w:rPr>
            </w:pPr>
          </w:p>
        </w:tc>
        <w:tc>
          <w:tcPr>
            <w:tcW w:w="1335" w:type="dxa"/>
            <w:vAlign w:val="center"/>
          </w:tcPr>
          <w:p>
            <w:pPr>
              <w:spacing w:line="520" w:lineRule="exact"/>
              <w:jc w:val="center"/>
              <w:rPr>
                <w:rFonts w:ascii="仿宋_GB2312"/>
                <w:color w:val="auto"/>
                <w:sz w:val="24"/>
              </w:rPr>
            </w:pPr>
          </w:p>
        </w:tc>
        <w:tc>
          <w:tcPr>
            <w:tcW w:w="2092" w:type="dxa"/>
            <w:vAlign w:val="center"/>
          </w:tcPr>
          <w:p>
            <w:pPr>
              <w:spacing w:line="520" w:lineRule="exact"/>
              <w:jc w:val="center"/>
              <w:rPr>
                <w:rFonts w:ascii="仿宋_GB2312"/>
                <w:color w:val="auto"/>
                <w:sz w:val="24"/>
              </w:rPr>
            </w:pPr>
          </w:p>
        </w:tc>
        <w:tc>
          <w:tcPr>
            <w:tcW w:w="1613" w:type="dxa"/>
            <w:vAlign w:val="center"/>
          </w:tcPr>
          <w:p>
            <w:pPr>
              <w:spacing w:line="520" w:lineRule="exact"/>
              <w:jc w:val="center"/>
              <w:rPr>
                <w:rFonts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trPr>
        <w:tc>
          <w:tcPr>
            <w:tcW w:w="443" w:type="dxa"/>
            <w:vAlign w:val="center"/>
          </w:tcPr>
          <w:p>
            <w:pPr>
              <w:spacing w:line="520" w:lineRule="exact"/>
              <w:jc w:val="center"/>
              <w:rPr>
                <w:rFonts w:ascii="仿宋_GB2312"/>
                <w:color w:val="auto"/>
                <w:sz w:val="24"/>
              </w:rPr>
            </w:pPr>
          </w:p>
        </w:tc>
        <w:tc>
          <w:tcPr>
            <w:tcW w:w="583" w:type="dxa"/>
            <w:vAlign w:val="center"/>
          </w:tcPr>
          <w:p>
            <w:pPr>
              <w:spacing w:line="520" w:lineRule="exact"/>
              <w:jc w:val="center"/>
              <w:rPr>
                <w:rFonts w:ascii="仿宋_GB2312"/>
                <w:color w:val="auto"/>
                <w:sz w:val="24"/>
              </w:rPr>
            </w:pPr>
          </w:p>
        </w:tc>
        <w:tc>
          <w:tcPr>
            <w:tcW w:w="762" w:type="dxa"/>
            <w:vAlign w:val="center"/>
          </w:tcPr>
          <w:p>
            <w:pPr>
              <w:spacing w:line="520" w:lineRule="exact"/>
              <w:jc w:val="center"/>
              <w:rPr>
                <w:rFonts w:ascii="仿宋_GB2312"/>
                <w:color w:val="auto"/>
                <w:sz w:val="24"/>
              </w:rPr>
            </w:pPr>
          </w:p>
        </w:tc>
        <w:tc>
          <w:tcPr>
            <w:tcW w:w="824" w:type="dxa"/>
            <w:vAlign w:val="center"/>
          </w:tcPr>
          <w:p>
            <w:pPr>
              <w:spacing w:line="520" w:lineRule="exact"/>
              <w:jc w:val="center"/>
              <w:rPr>
                <w:rFonts w:ascii="仿宋_GB2312"/>
                <w:color w:val="auto"/>
                <w:sz w:val="24"/>
              </w:rPr>
            </w:pPr>
          </w:p>
        </w:tc>
        <w:tc>
          <w:tcPr>
            <w:tcW w:w="486" w:type="dxa"/>
            <w:vAlign w:val="center"/>
          </w:tcPr>
          <w:p>
            <w:pPr>
              <w:spacing w:line="520" w:lineRule="exact"/>
              <w:jc w:val="center"/>
              <w:rPr>
                <w:rFonts w:ascii="仿宋_GB2312"/>
                <w:color w:val="auto"/>
                <w:sz w:val="24"/>
              </w:rPr>
            </w:pPr>
          </w:p>
        </w:tc>
        <w:tc>
          <w:tcPr>
            <w:tcW w:w="740" w:type="dxa"/>
            <w:vAlign w:val="center"/>
          </w:tcPr>
          <w:p>
            <w:pPr>
              <w:spacing w:line="520" w:lineRule="exact"/>
              <w:jc w:val="center"/>
              <w:rPr>
                <w:rFonts w:ascii="仿宋_GB2312"/>
                <w:color w:val="auto"/>
                <w:sz w:val="24"/>
              </w:rPr>
            </w:pPr>
          </w:p>
        </w:tc>
        <w:tc>
          <w:tcPr>
            <w:tcW w:w="729" w:type="dxa"/>
            <w:vAlign w:val="center"/>
          </w:tcPr>
          <w:p>
            <w:pPr>
              <w:spacing w:line="520" w:lineRule="exact"/>
              <w:jc w:val="center"/>
              <w:rPr>
                <w:rFonts w:ascii="仿宋_GB2312"/>
                <w:color w:val="auto"/>
                <w:sz w:val="24"/>
              </w:rPr>
            </w:pPr>
          </w:p>
        </w:tc>
        <w:tc>
          <w:tcPr>
            <w:tcW w:w="764" w:type="dxa"/>
            <w:vAlign w:val="center"/>
          </w:tcPr>
          <w:p>
            <w:pPr>
              <w:spacing w:line="520" w:lineRule="exact"/>
              <w:jc w:val="center"/>
              <w:rPr>
                <w:rFonts w:ascii="仿宋_GB2312"/>
                <w:color w:val="auto"/>
                <w:sz w:val="24"/>
              </w:rPr>
            </w:pPr>
          </w:p>
        </w:tc>
        <w:tc>
          <w:tcPr>
            <w:tcW w:w="671" w:type="dxa"/>
            <w:vAlign w:val="center"/>
          </w:tcPr>
          <w:p>
            <w:pPr>
              <w:spacing w:line="520" w:lineRule="exact"/>
              <w:jc w:val="center"/>
              <w:rPr>
                <w:rFonts w:ascii="仿宋_GB2312"/>
                <w:color w:val="auto"/>
                <w:sz w:val="24"/>
              </w:rPr>
            </w:pPr>
          </w:p>
        </w:tc>
        <w:tc>
          <w:tcPr>
            <w:tcW w:w="1377" w:type="dxa"/>
            <w:vAlign w:val="center"/>
          </w:tcPr>
          <w:p>
            <w:pPr>
              <w:spacing w:line="520" w:lineRule="exact"/>
              <w:jc w:val="center"/>
              <w:rPr>
                <w:rFonts w:ascii="仿宋_GB2312"/>
                <w:color w:val="auto"/>
                <w:sz w:val="24"/>
              </w:rPr>
            </w:pPr>
          </w:p>
        </w:tc>
        <w:tc>
          <w:tcPr>
            <w:tcW w:w="752" w:type="dxa"/>
            <w:vAlign w:val="center"/>
          </w:tcPr>
          <w:p>
            <w:pPr>
              <w:spacing w:line="520" w:lineRule="exact"/>
              <w:jc w:val="center"/>
              <w:rPr>
                <w:rFonts w:ascii="仿宋_GB2312"/>
                <w:color w:val="auto"/>
                <w:sz w:val="24"/>
              </w:rPr>
            </w:pPr>
          </w:p>
        </w:tc>
        <w:tc>
          <w:tcPr>
            <w:tcW w:w="1244" w:type="dxa"/>
            <w:vAlign w:val="center"/>
          </w:tcPr>
          <w:p>
            <w:pPr>
              <w:spacing w:line="520" w:lineRule="exact"/>
              <w:jc w:val="center"/>
              <w:rPr>
                <w:rFonts w:ascii="仿宋_GB2312"/>
                <w:color w:val="auto"/>
                <w:sz w:val="24"/>
              </w:rPr>
            </w:pPr>
          </w:p>
        </w:tc>
        <w:tc>
          <w:tcPr>
            <w:tcW w:w="1335" w:type="dxa"/>
            <w:vAlign w:val="center"/>
          </w:tcPr>
          <w:p>
            <w:pPr>
              <w:spacing w:line="520" w:lineRule="exact"/>
              <w:jc w:val="center"/>
              <w:rPr>
                <w:rFonts w:ascii="仿宋_GB2312"/>
                <w:color w:val="auto"/>
                <w:sz w:val="24"/>
              </w:rPr>
            </w:pPr>
          </w:p>
        </w:tc>
        <w:tc>
          <w:tcPr>
            <w:tcW w:w="2092" w:type="dxa"/>
            <w:vAlign w:val="center"/>
          </w:tcPr>
          <w:p>
            <w:pPr>
              <w:spacing w:line="520" w:lineRule="exact"/>
              <w:jc w:val="center"/>
              <w:rPr>
                <w:rFonts w:ascii="仿宋_GB2312"/>
                <w:color w:val="auto"/>
                <w:sz w:val="24"/>
              </w:rPr>
            </w:pPr>
          </w:p>
        </w:tc>
        <w:tc>
          <w:tcPr>
            <w:tcW w:w="1613" w:type="dxa"/>
            <w:vAlign w:val="center"/>
          </w:tcPr>
          <w:p>
            <w:pPr>
              <w:spacing w:line="520" w:lineRule="exact"/>
              <w:jc w:val="center"/>
              <w:rPr>
                <w:rFonts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443" w:type="dxa"/>
            <w:vAlign w:val="center"/>
          </w:tcPr>
          <w:p>
            <w:pPr>
              <w:spacing w:line="520" w:lineRule="exact"/>
              <w:jc w:val="center"/>
              <w:rPr>
                <w:rFonts w:ascii="仿宋_GB2312"/>
                <w:color w:val="auto"/>
                <w:sz w:val="24"/>
              </w:rPr>
            </w:pPr>
          </w:p>
        </w:tc>
        <w:tc>
          <w:tcPr>
            <w:tcW w:w="583" w:type="dxa"/>
            <w:vAlign w:val="center"/>
          </w:tcPr>
          <w:p>
            <w:pPr>
              <w:spacing w:line="520" w:lineRule="exact"/>
              <w:jc w:val="center"/>
              <w:rPr>
                <w:rFonts w:ascii="仿宋_GB2312"/>
                <w:color w:val="auto"/>
                <w:sz w:val="24"/>
              </w:rPr>
            </w:pPr>
          </w:p>
        </w:tc>
        <w:tc>
          <w:tcPr>
            <w:tcW w:w="762" w:type="dxa"/>
            <w:vAlign w:val="center"/>
          </w:tcPr>
          <w:p>
            <w:pPr>
              <w:spacing w:line="520" w:lineRule="exact"/>
              <w:jc w:val="center"/>
              <w:rPr>
                <w:rFonts w:ascii="仿宋_GB2312"/>
                <w:color w:val="auto"/>
                <w:sz w:val="24"/>
              </w:rPr>
            </w:pPr>
          </w:p>
        </w:tc>
        <w:tc>
          <w:tcPr>
            <w:tcW w:w="824" w:type="dxa"/>
            <w:vAlign w:val="center"/>
          </w:tcPr>
          <w:p>
            <w:pPr>
              <w:spacing w:line="520" w:lineRule="exact"/>
              <w:jc w:val="center"/>
              <w:rPr>
                <w:rFonts w:ascii="仿宋_GB2312"/>
                <w:color w:val="auto"/>
                <w:sz w:val="24"/>
              </w:rPr>
            </w:pPr>
          </w:p>
        </w:tc>
        <w:tc>
          <w:tcPr>
            <w:tcW w:w="486" w:type="dxa"/>
            <w:vAlign w:val="center"/>
          </w:tcPr>
          <w:p>
            <w:pPr>
              <w:spacing w:line="520" w:lineRule="exact"/>
              <w:jc w:val="center"/>
              <w:rPr>
                <w:rFonts w:ascii="仿宋_GB2312"/>
                <w:color w:val="auto"/>
                <w:sz w:val="24"/>
              </w:rPr>
            </w:pPr>
          </w:p>
        </w:tc>
        <w:tc>
          <w:tcPr>
            <w:tcW w:w="740" w:type="dxa"/>
            <w:vAlign w:val="center"/>
          </w:tcPr>
          <w:p>
            <w:pPr>
              <w:spacing w:line="520" w:lineRule="exact"/>
              <w:jc w:val="center"/>
              <w:rPr>
                <w:rFonts w:ascii="仿宋_GB2312"/>
                <w:color w:val="auto"/>
                <w:sz w:val="24"/>
              </w:rPr>
            </w:pPr>
          </w:p>
        </w:tc>
        <w:tc>
          <w:tcPr>
            <w:tcW w:w="729" w:type="dxa"/>
            <w:vAlign w:val="center"/>
          </w:tcPr>
          <w:p>
            <w:pPr>
              <w:spacing w:line="520" w:lineRule="exact"/>
              <w:jc w:val="center"/>
              <w:rPr>
                <w:rFonts w:ascii="仿宋_GB2312"/>
                <w:color w:val="auto"/>
                <w:sz w:val="24"/>
              </w:rPr>
            </w:pPr>
          </w:p>
        </w:tc>
        <w:tc>
          <w:tcPr>
            <w:tcW w:w="764" w:type="dxa"/>
            <w:vAlign w:val="center"/>
          </w:tcPr>
          <w:p>
            <w:pPr>
              <w:spacing w:line="520" w:lineRule="exact"/>
              <w:jc w:val="center"/>
              <w:rPr>
                <w:rFonts w:ascii="仿宋_GB2312"/>
                <w:color w:val="auto"/>
                <w:sz w:val="24"/>
              </w:rPr>
            </w:pPr>
          </w:p>
        </w:tc>
        <w:tc>
          <w:tcPr>
            <w:tcW w:w="671" w:type="dxa"/>
            <w:vAlign w:val="center"/>
          </w:tcPr>
          <w:p>
            <w:pPr>
              <w:spacing w:line="520" w:lineRule="exact"/>
              <w:jc w:val="center"/>
              <w:rPr>
                <w:rFonts w:ascii="仿宋_GB2312"/>
                <w:color w:val="auto"/>
                <w:sz w:val="24"/>
              </w:rPr>
            </w:pPr>
          </w:p>
        </w:tc>
        <w:tc>
          <w:tcPr>
            <w:tcW w:w="1377" w:type="dxa"/>
            <w:vAlign w:val="center"/>
          </w:tcPr>
          <w:p>
            <w:pPr>
              <w:spacing w:line="520" w:lineRule="exact"/>
              <w:jc w:val="center"/>
              <w:rPr>
                <w:rFonts w:ascii="仿宋_GB2312"/>
                <w:color w:val="auto"/>
                <w:sz w:val="24"/>
              </w:rPr>
            </w:pPr>
          </w:p>
        </w:tc>
        <w:tc>
          <w:tcPr>
            <w:tcW w:w="752" w:type="dxa"/>
            <w:vAlign w:val="center"/>
          </w:tcPr>
          <w:p>
            <w:pPr>
              <w:spacing w:line="520" w:lineRule="exact"/>
              <w:jc w:val="center"/>
              <w:rPr>
                <w:rFonts w:ascii="仿宋_GB2312"/>
                <w:color w:val="auto"/>
                <w:sz w:val="24"/>
              </w:rPr>
            </w:pPr>
          </w:p>
        </w:tc>
        <w:tc>
          <w:tcPr>
            <w:tcW w:w="1244" w:type="dxa"/>
            <w:vAlign w:val="center"/>
          </w:tcPr>
          <w:p>
            <w:pPr>
              <w:spacing w:line="520" w:lineRule="exact"/>
              <w:jc w:val="center"/>
              <w:rPr>
                <w:rFonts w:ascii="仿宋_GB2312"/>
                <w:color w:val="auto"/>
                <w:sz w:val="24"/>
              </w:rPr>
            </w:pPr>
          </w:p>
        </w:tc>
        <w:tc>
          <w:tcPr>
            <w:tcW w:w="1335" w:type="dxa"/>
            <w:vAlign w:val="center"/>
          </w:tcPr>
          <w:p>
            <w:pPr>
              <w:spacing w:line="520" w:lineRule="exact"/>
              <w:jc w:val="center"/>
              <w:rPr>
                <w:rFonts w:ascii="仿宋_GB2312"/>
                <w:color w:val="auto"/>
                <w:sz w:val="24"/>
              </w:rPr>
            </w:pPr>
          </w:p>
        </w:tc>
        <w:tc>
          <w:tcPr>
            <w:tcW w:w="2092" w:type="dxa"/>
            <w:vAlign w:val="center"/>
          </w:tcPr>
          <w:p>
            <w:pPr>
              <w:spacing w:line="520" w:lineRule="exact"/>
              <w:jc w:val="center"/>
              <w:rPr>
                <w:rFonts w:ascii="仿宋_GB2312"/>
                <w:color w:val="auto"/>
                <w:sz w:val="24"/>
              </w:rPr>
            </w:pPr>
          </w:p>
        </w:tc>
        <w:tc>
          <w:tcPr>
            <w:tcW w:w="1613" w:type="dxa"/>
            <w:vAlign w:val="center"/>
          </w:tcPr>
          <w:p>
            <w:pPr>
              <w:spacing w:line="520" w:lineRule="exact"/>
              <w:jc w:val="center"/>
              <w:rPr>
                <w:rFonts w:ascii="仿宋_GB2312"/>
                <w:color w:val="auto"/>
                <w:sz w:val="24"/>
              </w:rPr>
            </w:pPr>
          </w:p>
        </w:tc>
      </w:tr>
    </w:tbl>
    <w:p>
      <w:pPr>
        <w:spacing w:line="520" w:lineRule="exact"/>
        <w:rPr>
          <w:rFonts w:hint="eastAsia" w:ascii="宋体" w:hAnsi="宋体" w:eastAsia="宋体" w:cs="宋体"/>
          <w:bCs/>
          <w:sz w:val="24"/>
          <w:szCs w:val="24"/>
          <w:lang w:eastAsia="zh-CN"/>
        </w:rPr>
      </w:pPr>
      <w:r>
        <w:rPr>
          <w:rFonts w:hint="eastAsia" w:ascii="宋体" w:hAnsi="宋体" w:eastAsia="宋体" w:cs="宋体"/>
          <w:bCs/>
          <w:sz w:val="24"/>
          <w:szCs w:val="24"/>
        </w:rPr>
        <w:t>注：1</w:t>
      </w:r>
      <w:r>
        <w:rPr>
          <w:rFonts w:hint="eastAsia" w:ascii="宋体" w:hAnsi="宋体" w:eastAsia="宋体" w:cs="宋体"/>
          <w:bCs/>
          <w:sz w:val="24"/>
          <w:szCs w:val="24"/>
          <w:lang w:val="en-US" w:eastAsia="zh-CN"/>
        </w:rPr>
        <w:t>.</w:t>
      </w:r>
      <w:r>
        <w:rPr>
          <w:rFonts w:hint="eastAsia" w:ascii="宋体" w:hAnsi="宋体" w:eastAsia="宋体" w:cs="宋体"/>
          <w:bCs/>
          <w:sz w:val="24"/>
          <w:szCs w:val="24"/>
        </w:rPr>
        <w:t>生源地指参加全国统一的普通高等学校招生考试时户籍所在地；</w:t>
      </w:r>
    </w:p>
    <w:p>
      <w:pPr>
        <w:spacing w:line="520" w:lineRule="exact"/>
        <w:ind w:firstLine="480" w:firstLineChars="200"/>
        <w:rPr>
          <w:rFonts w:ascii="宋体" w:hAnsi="宋体" w:eastAsia="宋体" w:cs="宋体"/>
          <w:bCs/>
          <w:sz w:val="24"/>
          <w:szCs w:val="24"/>
        </w:rPr>
      </w:pPr>
      <w:r>
        <w:rPr>
          <w:rFonts w:hint="eastAsia" w:ascii="宋体" w:hAnsi="宋体" w:eastAsia="宋体" w:cs="宋体"/>
          <w:bCs/>
          <w:sz w:val="24"/>
          <w:szCs w:val="24"/>
          <w:lang w:val="en-US" w:eastAsia="zh-CN"/>
        </w:rPr>
        <w:t>2.在校获得荣誉（奖学金、奖项）</w:t>
      </w:r>
      <w:r>
        <w:rPr>
          <w:rFonts w:hint="eastAsia" w:ascii="宋体" w:hAnsi="宋体" w:eastAsia="宋体" w:cs="宋体"/>
          <w:bCs/>
          <w:sz w:val="24"/>
          <w:szCs w:val="24"/>
        </w:rPr>
        <w:t>情况得分按</w:t>
      </w:r>
      <w:r>
        <w:rPr>
          <w:rFonts w:hint="eastAsia" w:ascii="宋体" w:hAnsi="宋体" w:eastAsia="宋体" w:cs="宋体"/>
          <w:bCs/>
          <w:sz w:val="24"/>
          <w:szCs w:val="24"/>
          <w:lang w:val="en-US" w:eastAsia="zh-CN"/>
        </w:rPr>
        <w:t>照</w:t>
      </w:r>
      <w:r>
        <w:rPr>
          <w:rFonts w:hint="eastAsia" w:ascii="宋体" w:hAnsi="宋体" w:eastAsia="宋体" w:cs="宋体"/>
          <w:bCs/>
          <w:sz w:val="24"/>
          <w:szCs w:val="24"/>
        </w:rPr>
        <w:t>就高不重复原则评分；</w:t>
      </w:r>
    </w:p>
    <w:p>
      <w:pPr>
        <w:spacing w:line="520" w:lineRule="exact"/>
        <w:rPr>
          <w:rFonts w:ascii="宋体" w:hAnsi="宋体" w:eastAsia="宋体" w:cs="宋体"/>
          <w:bCs/>
          <w:sz w:val="24"/>
          <w:szCs w:val="24"/>
        </w:rPr>
      </w:pPr>
      <w:r>
        <w:rPr>
          <w:rFonts w:hint="eastAsia" w:ascii="宋体" w:hAnsi="宋体" w:eastAsia="宋体" w:cs="宋体"/>
          <w:bCs/>
          <w:sz w:val="24"/>
          <w:szCs w:val="24"/>
        </w:rPr>
        <w:t xml:space="preserve">    </w:t>
      </w:r>
      <w:r>
        <w:rPr>
          <w:rFonts w:hint="eastAsia" w:ascii="宋体" w:hAnsi="宋体" w:eastAsia="宋体" w:cs="宋体"/>
          <w:bCs/>
          <w:sz w:val="24"/>
          <w:szCs w:val="24"/>
          <w:lang w:val="en-US" w:eastAsia="zh-CN"/>
        </w:rPr>
        <w:t>3</w:t>
      </w:r>
      <w:r>
        <w:rPr>
          <w:rFonts w:hint="eastAsia" w:ascii="宋体" w:hAnsi="宋体" w:eastAsia="宋体" w:cs="宋体"/>
          <w:bCs/>
          <w:sz w:val="24"/>
          <w:szCs w:val="24"/>
        </w:rPr>
        <w:t>.各院校应在</w:t>
      </w:r>
      <w:r>
        <w:rPr>
          <w:rFonts w:hint="eastAsia" w:ascii="宋体" w:hAnsi="宋体" w:eastAsia="宋体" w:cs="宋体"/>
          <w:bCs/>
          <w:sz w:val="24"/>
          <w:szCs w:val="24"/>
          <w:lang w:val="en-US" w:eastAsia="zh-CN"/>
        </w:rPr>
        <w:t>5</w:t>
      </w:r>
      <w:r>
        <w:rPr>
          <w:rFonts w:hint="eastAsia" w:ascii="宋体" w:hAnsi="宋体" w:eastAsia="宋体" w:cs="宋体"/>
          <w:bCs/>
          <w:sz w:val="24"/>
          <w:szCs w:val="24"/>
        </w:rPr>
        <w:t>月</w:t>
      </w:r>
      <w:r>
        <w:rPr>
          <w:rFonts w:hint="eastAsia" w:ascii="宋体" w:hAnsi="宋体" w:eastAsia="宋体" w:cs="宋体"/>
          <w:bCs/>
          <w:sz w:val="24"/>
          <w:szCs w:val="24"/>
          <w:lang w:val="en-US" w:eastAsia="zh-CN"/>
        </w:rPr>
        <w:t>17</w:t>
      </w:r>
      <w:r>
        <w:rPr>
          <w:rFonts w:hint="eastAsia" w:ascii="宋体" w:hAnsi="宋体" w:eastAsia="宋体" w:cs="宋体"/>
          <w:bCs/>
          <w:sz w:val="24"/>
          <w:szCs w:val="24"/>
        </w:rPr>
        <w:t>日前（以寄出邮戳为准）</w:t>
      </w:r>
      <w:r>
        <w:rPr>
          <w:rFonts w:hint="eastAsia" w:ascii="宋体" w:hAnsi="宋体" w:eastAsia="宋体" w:cs="宋体"/>
          <w:bCs/>
          <w:color w:val="auto"/>
          <w:sz w:val="24"/>
          <w:szCs w:val="24"/>
        </w:rPr>
        <w:t>将本表</w:t>
      </w:r>
      <w:r>
        <w:rPr>
          <w:rFonts w:hint="eastAsia" w:ascii="宋体" w:hAnsi="宋体" w:eastAsia="宋体" w:cs="宋体"/>
          <w:bCs/>
          <w:sz w:val="24"/>
          <w:szCs w:val="24"/>
        </w:rPr>
        <w:t>加盖院校或就业工作部门公章后报送龙岩市人社局，逾期不予受理。</w:t>
      </w:r>
    </w:p>
    <w:p>
      <w:pPr>
        <w:spacing w:line="520" w:lineRule="exact"/>
        <w:rPr>
          <w:rFonts w:ascii="宋体" w:hAnsi="宋体" w:cs="宋体"/>
          <w:sz w:val="24"/>
        </w:rPr>
      </w:pPr>
      <w:r>
        <w:rPr>
          <w:rFonts w:hint="eastAsia" w:ascii="宋体" w:hAnsi="宋体" w:eastAsia="宋体" w:cs="宋体"/>
          <w:sz w:val="24"/>
          <w:szCs w:val="24"/>
        </w:rPr>
        <w:t>高校填表人：</w:t>
      </w:r>
      <w:r>
        <w:rPr>
          <w:rFonts w:ascii="宋体" w:hAnsi="宋体" w:cs="宋体"/>
          <w:sz w:val="24"/>
          <w:szCs w:val="24"/>
        </w:rPr>
        <w:t>(必填)</w:t>
      </w:r>
      <w:r>
        <w:rPr>
          <w:rFonts w:hint="eastAsia" w:ascii="宋体" w:hAnsi="宋体" w:eastAsia="宋体" w:cs="宋体"/>
          <w:sz w:val="24"/>
          <w:szCs w:val="24"/>
        </w:rPr>
        <w:t xml:space="preserve">                            </w:t>
      </w:r>
      <w:r>
        <w:rPr>
          <w:rFonts w:hint="eastAsia" w:ascii="宋体" w:hAnsi="宋体" w:cs="宋体"/>
          <w:sz w:val="24"/>
          <w:szCs w:val="24"/>
        </w:rPr>
        <w:t xml:space="preserve">           </w:t>
      </w:r>
      <w:r>
        <w:rPr>
          <w:rFonts w:hint="eastAsia" w:ascii="宋体" w:hAnsi="宋体" w:eastAsia="宋体" w:cs="宋体"/>
          <w:sz w:val="24"/>
          <w:szCs w:val="24"/>
        </w:rPr>
        <w:t xml:space="preserve"> </w:t>
      </w:r>
      <w:r>
        <w:rPr>
          <w:rFonts w:hint="eastAsia" w:ascii="宋体" w:hAnsi="宋体" w:cs="宋体"/>
          <w:sz w:val="24"/>
          <w:szCs w:val="24"/>
        </w:rPr>
        <w:t xml:space="preserve">            高校</w:t>
      </w:r>
      <w:r>
        <w:rPr>
          <w:rFonts w:hint="eastAsia" w:ascii="宋体" w:hAnsi="宋体" w:eastAsia="宋体" w:cs="宋体"/>
          <w:sz w:val="24"/>
          <w:szCs w:val="24"/>
        </w:rPr>
        <w:t>联系电话：</w:t>
      </w:r>
      <w:r>
        <w:rPr>
          <w:rFonts w:ascii="宋体" w:hAnsi="宋体" w:cs="宋体"/>
          <w:sz w:val="24"/>
          <w:szCs w:val="24"/>
        </w:rPr>
        <w:t>(必填)</w:t>
      </w:r>
      <w:r>
        <w:rPr>
          <w:rFonts w:hint="eastAsia" w:ascii="宋体" w:hAnsi="宋体" w:eastAsia="宋体" w:cs="宋体"/>
          <w:sz w:val="24"/>
          <w:szCs w:val="24"/>
        </w:rPr>
        <w:t xml:space="preserve">  </w:t>
      </w:r>
      <w:bookmarkStart w:id="0" w:name="_GoBack"/>
      <w:bookmarkEnd w:id="0"/>
    </w:p>
    <w:sectPr>
      <w:headerReference r:id="rId5" w:type="default"/>
      <w:pgSz w:w="16838" w:h="11906" w:orient="landscape"/>
      <w:pgMar w:top="1230" w:right="1440" w:bottom="111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25527"/>
    </w:sdtPr>
    <w:sdtContent>
      <w:p>
        <w:pPr>
          <w:pStyle w:val="3"/>
          <w:jc w:val="center"/>
        </w:pPr>
        <w:r>
          <w:fldChar w:fldCharType="begin"/>
        </w:r>
        <w:r>
          <w:instrText xml:space="preserve"> PAGE   \* MERGEFORMAT </w:instrText>
        </w:r>
        <w:r>
          <w:fldChar w:fldCharType="separate"/>
        </w:r>
        <w:r>
          <w:rPr>
            <w:lang w:val="zh-CN"/>
          </w:rPr>
          <w:t>11</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3BD27"/>
    <w:multiLevelType w:val="singleLevel"/>
    <w:tmpl w:val="8323BD27"/>
    <w:lvl w:ilvl="0" w:tentative="0">
      <w:start w:val="2"/>
      <w:numFmt w:val="chineseCounting"/>
      <w:suff w:val="nothing"/>
      <w:lvlText w:val="（%1）"/>
      <w:lvlJc w:val="left"/>
      <w:rPr>
        <w:rFonts w:hint="eastAsia"/>
      </w:rPr>
    </w:lvl>
  </w:abstractNum>
  <w:abstractNum w:abstractNumId="1">
    <w:nsid w:val="45FC5B71"/>
    <w:multiLevelType w:val="singleLevel"/>
    <w:tmpl w:val="45FC5B71"/>
    <w:lvl w:ilvl="0" w:tentative="0">
      <w:start w:val="2"/>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IzNDlhOGFkNGI1NzhmNWQ4MjM5MjI0MGNhNGYwZjEifQ=="/>
  </w:docVars>
  <w:rsids>
    <w:rsidRoot w:val="11D57C4D"/>
    <w:rsid w:val="00023A50"/>
    <w:rsid w:val="0005755B"/>
    <w:rsid w:val="00080564"/>
    <w:rsid w:val="0008702E"/>
    <w:rsid w:val="00096F7E"/>
    <w:rsid w:val="000D3496"/>
    <w:rsid w:val="00125D4E"/>
    <w:rsid w:val="00141136"/>
    <w:rsid w:val="0014506A"/>
    <w:rsid w:val="00150C58"/>
    <w:rsid w:val="00173856"/>
    <w:rsid w:val="00177E9C"/>
    <w:rsid w:val="00190479"/>
    <w:rsid w:val="00191FE8"/>
    <w:rsid w:val="00202887"/>
    <w:rsid w:val="002034AF"/>
    <w:rsid w:val="002901F4"/>
    <w:rsid w:val="002A6432"/>
    <w:rsid w:val="002B14CB"/>
    <w:rsid w:val="002C1A28"/>
    <w:rsid w:val="002E55B7"/>
    <w:rsid w:val="003105D0"/>
    <w:rsid w:val="003135AB"/>
    <w:rsid w:val="00315E38"/>
    <w:rsid w:val="00336A0C"/>
    <w:rsid w:val="00361AE9"/>
    <w:rsid w:val="00381C52"/>
    <w:rsid w:val="00381DB9"/>
    <w:rsid w:val="003B78F8"/>
    <w:rsid w:val="003D180A"/>
    <w:rsid w:val="003D325A"/>
    <w:rsid w:val="003E1863"/>
    <w:rsid w:val="003F4B16"/>
    <w:rsid w:val="00405740"/>
    <w:rsid w:val="00406D5D"/>
    <w:rsid w:val="0040746D"/>
    <w:rsid w:val="00410E54"/>
    <w:rsid w:val="0041779E"/>
    <w:rsid w:val="004330EA"/>
    <w:rsid w:val="004B695A"/>
    <w:rsid w:val="004E4A8A"/>
    <w:rsid w:val="004E700C"/>
    <w:rsid w:val="00503EC5"/>
    <w:rsid w:val="0050526E"/>
    <w:rsid w:val="00510F91"/>
    <w:rsid w:val="0052244D"/>
    <w:rsid w:val="00523AD1"/>
    <w:rsid w:val="0052590E"/>
    <w:rsid w:val="00562BA2"/>
    <w:rsid w:val="0056525D"/>
    <w:rsid w:val="00567582"/>
    <w:rsid w:val="005737C7"/>
    <w:rsid w:val="00575BA2"/>
    <w:rsid w:val="005860B2"/>
    <w:rsid w:val="005B0A5F"/>
    <w:rsid w:val="005C0814"/>
    <w:rsid w:val="005D1BCF"/>
    <w:rsid w:val="005E437E"/>
    <w:rsid w:val="005F1163"/>
    <w:rsid w:val="006036BC"/>
    <w:rsid w:val="0060747F"/>
    <w:rsid w:val="006123EB"/>
    <w:rsid w:val="006134C7"/>
    <w:rsid w:val="006205A1"/>
    <w:rsid w:val="0062222D"/>
    <w:rsid w:val="006271D5"/>
    <w:rsid w:val="00653171"/>
    <w:rsid w:val="0065511F"/>
    <w:rsid w:val="006B666B"/>
    <w:rsid w:val="006C058C"/>
    <w:rsid w:val="006F0FE3"/>
    <w:rsid w:val="00751A5E"/>
    <w:rsid w:val="0075363A"/>
    <w:rsid w:val="00783578"/>
    <w:rsid w:val="00785FCF"/>
    <w:rsid w:val="00787354"/>
    <w:rsid w:val="00790428"/>
    <w:rsid w:val="007B7B78"/>
    <w:rsid w:val="007C33B9"/>
    <w:rsid w:val="007C3F74"/>
    <w:rsid w:val="007F72E6"/>
    <w:rsid w:val="00801039"/>
    <w:rsid w:val="00807578"/>
    <w:rsid w:val="008220F6"/>
    <w:rsid w:val="00856EDE"/>
    <w:rsid w:val="008606B2"/>
    <w:rsid w:val="00863138"/>
    <w:rsid w:val="008E5D61"/>
    <w:rsid w:val="008F4D60"/>
    <w:rsid w:val="00903CCE"/>
    <w:rsid w:val="00905897"/>
    <w:rsid w:val="009105C3"/>
    <w:rsid w:val="00915271"/>
    <w:rsid w:val="00943072"/>
    <w:rsid w:val="0095648B"/>
    <w:rsid w:val="009B1385"/>
    <w:rsid w:val="009F095E"/>
    <w:rsid w:val="00A369F7"/>
    <w:rsid w:val="00A849EE"/>
    <w:rsid w:val="00A91A8E"/>
    <w:rsid w:val="00AA1AD3"/>
    <w:rsid w:val="00AB6073"/>
    <w:rsid w:val="00AB6604"/>
    <w:rsid w:val="00AD4FF1"/>
    <w:rsid w:val="00AD6A35"/>
    <w:rsid w:val="00B0630E"/>
    <w:rsid w:val="00B12804"/>
    <w:rsid w:val="00B13FD7"/>
    <w:rsid w:val="00B15731"/>
    <w:rsid w:val="00B366FA"/>
    <w:rsid w:val="00B50CC7"/>
    <w:rsid w:val="00B666D6"/>
    <w:rsid w:val="00B820C1"/>
    <w:rsid w:val="00BC718A"/>
    <w:rsid w:val="00C05DA5"/>
    <w:rsid w:val="00C241AB"/>
    <w:rsid w:val="00C41605"/>
    <w:rsid w:val="00C4430B"/>
    <w:rsid w:val="00C5240F"/>
    <w:rsid w:val="00CB11FD"/>
    <w:rsid w:val="00CC0262"/>
    <w:rsid w:val="00CD507A"/>
    <w:rsid w:val="00D2572D"/>
    <w:rsid w:val="00D305FC"/>
    <w:rsid w:val="00D47A38"/>
    <w:rsid w:val="00D74C41"/>
    <w:rsid w:val="00DA33C6"/>
    <w:rsid w:val="00DA5572"/>
    <w:rsid w:val="00DE3E0E"/>
    <w:rsid w:val="00DF68F3"/>
    <w:rsid w:val="00E0786F"/>
    <w:rsid w:val="00E245A7"/>
    <w:rsid w:val="00E718F3"/>
    <w:rsid w:val="00E72E6B"/>
    <w:rsid w:val="00E7508C"/>
    <w:rsid w:val="00E91BE3"/>
    <w:rsid w:val="00EA43DE"/>
    <w:rsid w:val="00EB1B83"/>
    <w:rsid w:val="00EC2C18"/>
    <w:rsid w:val="00EF1D49"/>
    <w:rsid w:val="00F0070C"/>
    <w:rsid w:val="00F243FE"/>
    <w:rsid w:val="00F31129"/>
    <w:rsid w:val="00F44D37"/>
    <w:rsid w:val="00F5416C"/>
    <w:rsid w:val="00F67127"/>
    <w:rsid w:val="00F763C6"/>
    <w:rsid w:val="00FB2073"/>
    <w:rsid w:val="00FC0FD1"/>
    <w:rsid w:val="025F6ACC"/>
    <w:rsid w:val="04C9670A"/>
    <w:rsid w:val="07B70A9C"/>
    <w:rsid w:val="07FD23BA"/>
    <w:rsid w:val="0892037C"/>
    <w:rsid w:val="098A290C"/>
    <w:rsid w:val="0B8267E8"/>
    <w:rsid w:val="0D2A3ABE"/>
    <w:rsid w:val="0D766D04"/>
    <w:rsid w:val="0EA5655D"/>
    <w:rsid w:val="0EC3241C"/>
    <w:rsid w:val="10BE1DCE"/>
    <w:rsid w:val="11D57C4D"/>
    <w:rsid w:val="121F3E0E"/>
    <w:rsid w:val="12C56763"/>
    <w:rsid w:val="163D2AB4"/>
    <w:rsid w:val="16DB47A7"/>
    <w:rsid w:val="17D41B65"/>
    <w:rsid w:val="19C32FEE"/>
    <w:rsid w:val="1A4D1368"/>
    <w:rsid w:val="1F2C1918"/>
    <w:rsid w:val="216C24A0"/>
    <w:rsid w:val="230961F8"/>
    <w:rsid w:val="240779F8"/>
    <w:rsid w:val="24D557EE"/>
    <w:rsid w:val="26060B3D"/>
    <w:rsid w:val="2A9D7B84"/>
    <w:rsid w:val="2AD215C5"/>
    <w:rsid w:val="2E2D4289"/>
    <w:rsid w:val="2F880814"/>
    <w:rsid w:val="31215055"/>
    <w:rsid w:val="322B2B01"/>
    <w:rsid w:val="330C5891"/>
    <w:rsid w:val="33A80127"/>
    <w:rsid w:val="345C52D3"/>
    <w:rsid w:val="35405EEF"/>
    <w:rsid w:val="35BC17F0"/>
    <w:rsid w:val="392928CB"/>
    <w:rsid w:val="3A5836E5"/>
    <w:rsid w:val="3C355E58"/>
    <w:rsid w:val="3C6D1BB1"/>
    <w:rsid w:val="3EB43064"/>
    <w:rsid w:val="3EC7548D"/>
    <w:rsid w:val="3EF90CCF"/>
    <w:rsid w:val="40316936"/>
    <w:rsid w:val="40774C91"/>
    <w:rsid w:val="40D45C40"/>
    <w:rsid w:val="41744C1A"/>
    <w:rsid w:val="41D2591F"/>
    <w:rsid w:val="42C817D4"/>
    <w:rsid w:val="44603125"/>
    <w:rsid w:val="455D2DE0"/>
    <w:rsid w:val="47811F51"/>
    <w:rsid w:val="480E0043"/>
    <w:rsid w:val="480E5EDB"/>
    <w:rsid w:val="482079BC"/>
    <w:rsid w:val="489A7C81"/>
    <w:rsid w:val="48B404A7"/>
    <w:rsid w:val="48CC18F2"/>
    <w:rsid w:val="4AEC1DD8"/>
    <w:rsid w:val="4C221387"/>
    <w:rsid w:val="4DF334A8"/>
    <w:rsid w:val="4E4D6E98"/>
    <w:rsid w:val="50CF74C4"/>
    <w:rsid w:val="50EB3688"/>
    <w:rsid w:val="51C15D6C"/>
    <w:rsid w:val="55167B33"/>
    <w:rsid w:val="560D35AB"/>
    <w:rsid w:val="56496330"/>
    <w:rsid w:val="56CD7AD6"/>
    <w:rsid w:val="57EB2E4A"/>
    <w:rsid w:val="59573486"/>
    <w:rsid w:val="5B2657DF"/>
    <w:rsid w:val="5BAC36DC"/>
    <w:rsid w:val="5D551A5E"/>
    <w:rsid w:val="634C6C9D"/>
    <w:rsid w:val="63AD6C48"/>
    <w:rsid w:val="64D8017E"/>
    <w:rsid w:val="66263A10"/>
    <w:rsid w:val="66D32372"/>
    <w:rsid w:val="67386679"/>
    <w:rsid w:val="67926F3E"/>
    <w:rsid w:val="68953657"/>
    <w:rsid w:val="68AF2393"/>
    <w:rsid w:val="68DC20B8"/>
    <w:rsid w:val="69D14797"/>
    <w:rsid w:val="6B272C8C"/>
    <w:rsid w:val="70F44064"/>
    <w:rsid w:val="74C27582"/>
    <w:rsid w:val="7754637F"/>
    <w:rsid w:val="782C51AF"/>
    <w:rsid w:val="78746401"/>
    <w:rsid w:val="790C1713"/>
    <w:rsid w:val="79681F18"/>
    <w:rsid w:val="7C5F7DAC"/>
    <w:rsid w:val="7D856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99"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0"/>
    <w:autoRedefine/>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autoRedefine/>
    <w:qFormat/>
    <w:uiPriority w:val="22"/>
    <w:rPr>
      <w:b/>
      <w:bCs/>
    </w:rPr>
  </w:style>
  <w:style w:type="character" w:styleId="9">
    <w:name w:val="Hyperlink"/>
    <w:basedOn w:val="7"/>
    <w:autoRedefine/>
    <w:qFormat/>
    <w:uiPriority w:val="99"/>
    <w:rPr>
      <w:color w:val="0000FF"/>
      <w:u w:val="single"/>
    </w:rPr>
  </w:style>
  <w:style w:type="character" w:customStyle="1" w:styleId="10">
    <w:name w:val="批注框文本 Char"/>
    <w:basedOn w:val="7"/>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398C34-7232-40D3-88B1-944E4837826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28893</Words>
  <Characters>29918</Characters>
  <Lines>287</Lines>
  <Paragraphs>80</Paragraphs>
  <TotalTime>19</TotalTime>
  <ScaleCrop>false</ScaleCrop>
  <LinksUpToDate>false</LinksUpToDate>
  <CharactersWithSpaces>35517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2022-03-24T02:43:00Z</dcterms:created>
  <dc:creator>郭妹妹</dc:creator>
  <cp:lastModifiedBy>admin</cp:lastModifiedBy>
  <cp:lastPrinted>2024-03-28T09:43:00Z</cp:lastPrinted>
  <dcterms:modified xsi:type="dcterms:W3CDTF">2024-03-29T09:01:29Z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AD4E25B6E526424895DDFD9335C1613F</vt:lpwstr>
  </property>
</Properties>
</file>